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autoSpaceDN w:val="0"/>
        <w:spacing w:before="156" w:beforeLines="50" w:line="800" w:lineRule="exact"/>
        <w:jc w:val="distribute"/>
        <w:rPr>
          <w:rFonts w:ascii="方正小标宋简体" w:hAnsi="方正小标宋简体" w:eastAsia="方正小标宋简体" w:cs="方正小标宋简体"/>
          <w:bCs/>
          <w:color w:val="FF0000"/>
          <w:w w:val="50"/>
          <w:sz w:val="72"/>
          <w:szCs w:val="72"/>
        </w:rPr>
      </w:pPr>
    </w:p>
    <w:p>
      <w:pPr>
        <w:pStyle w:val="17"/>
        <w:autoSpaceDN w:val="0"/>
        <w:spacing w:before="156" w:beforeLines="50" w:line="800" w:lineRule="exact"/>
        <w:jc w:val="distribute"/>
        <w:rPr>
          <w:rFonts w:ascii="方正小标宋简体" w:hAnsi="方正小标宋简体" w:eastAsia="方正小标宋简体" w:cs="方正小标宋简体"/>
          <w:b/>
          <w:color w:val="FF0000"/>
          <w:w w:val="50"/>
          <w:sz w:val="80"/>
          <w:szCs w:val="80"/>
        </w:rPr>
      </w:pPr>
      <w:r>
        <w:rPr>
          <w:rFonts w:hint="eastAsia" w:ascii="方正小标宋简体" w:hAnsi="方正小标宋简体" w:eastAsia="方正小标宋简体" w:cs="方正小标宋简体"/>
          <w:b/>
          <w:color w:val="FF0000"/>
          <w:w w:val="50"/>
          <w:sz w:val="80"/>
          <w:szCs w:val="80"/>
        </w:rPr>
        <w:t>四川省全国计算机应用水平考试管理委员会</w:t>
      </w:r>
    </w:p>
    <w:p>
      <w:pPr>
        <w:spacing w:line="800" w:lineRule="exact"/>
        <w:jc w:val="center"/>
        <w:rPr>
          <w:rFonts w:ascii="方正小标宋简体" w:eastAsia="方正小标宋简体"/>
          <w:b/>
          <w:color w:val="000000"/>
          <w:sz w:val="44"/>
          <w:szCs w:val="44"/>
        </w:rPr>
      </w:pPr>
      <w:bookmarkStart w:id="1" w:name="_GoBack"/>
      <w:bookmarkEnd w:id="1"/>
      <w:r>
        <w:rPr>
          <w:rFonts w:ascii="华文中宋" w:hAnsi="华文中宋" w:eastAsia="华文中宋"/>
          <w:b/>
          <w:color w:val="FF0000"/>
          <w:sz w:val="56"/>
          <w:szCs w:val="56"/>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163195</wp:posOffset>
                </wp:positionV>
                <wp:extent cx="5748020" cy="29210"/>
                <wp:effectExtent l="33655" t="29845" r="47625" b="93345"/>
                <wp:wrapNone/>
                <wp:docPr id="1" name="直接连接符 1"/>
                <wp:cNvGraphicFramePr/>
                <a:graphic xmlns:a="http://schemas.openxmlformats.org/drawingml/2006/main">
                  <a:graphicData uri="http://schemas.microsoft.com/office/word/2010/wordprocessingShape">
                    <wps:wsp>
                      <wps:cNvCnPr/>
                      <wps:spPr>
                        <a:xfrm flipV="1">
                          <a:off x="0" y="0"/>
                          <a:ext cx="5748020" cy="29210"/>
                        </a:xfrm>
                        <a:prstGeom prst="line">
                          <a:avLst/>
                        </a:prstGeom>
                        <a:ln>
                          <a:solidFill>
                            <a:srgbClr val="FF0000"/>
                          </a:solidFill>
                          <a:headEnd type="none" w="med" len="med"/>
                          <a:tailEnd type="none"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2pt;margin-top:12.85pt;height:2.3pt;width:452.6pt;z-index:251658240;mso-width-relative:page;mso-height-relative:page;" filled="f" stroked="t" coordsize="21600,21600" o:gfxdata="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OAbfx9kAAAAJAQAA&#10;DwAAAAAAAAABACAAAAAiAAAAZHJzL2Rvd25yZXYueG1sUEsBAhQAFAAAAAgAh07iQIqtFwFRAgAA&#10;qQQAAA4AAAAAAAAAAQAgAAAAKAEAAGRycy9lMm9Eb2MueG1sUEsFBgAAAAAGAAYAWQEAAOsFAAAA&#10;AA==&#10;">
                <v:fill on="f" focussize="0,0"/>
                <v:stroke weight="3pt" color="#FF0000 [3200]" joinstyle="round"/>
                <v:imagedata o:title=""/>
                <o:lock v:ext="edit" aspectratio="f"/>
                <v:shadow on="t" color="#000000" opacity="22937f" offset="0pt,1.81102362204724pt" origin="0f,32768f" matrix="65536f,0f,0f,65536f"/>
              </v:line>
            </w:pict>
          </mc:Fallback>
        </mc:AlternateContent>
      </w:r>
    </w:p>
    <w:p>
      <w:pPr>
        <w:spacing w:line="520" w:lineRule="exact"/>
        <w:jc w:val="center"/>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川计管函（2021）1号</w:t>
      </w:r>
    </w:p>
    <w:p>
      <w:pPr>
        <w:spacing w:line="520" w:lineRule="exact"/>
        <w:jc w:val="center"/>
        <w:rPr>
          <w:rFonts w:ascii="仿宋_GB2312" w:hAnsi="仿宋_GB2312" w:eastAsia="仿宋_GB2312" w:cs="仿宋_GB2312"/>
          <w:kern w:val="0"/>
          <w:sz w:val="44"/>
          <w:szCs w:val="44"/>
          <w:lang w:bidi="ar"/>
        </w:rPr>
      </w:pPr>
    </w:p>
    <w:p>
      <w:pPr>
        <w:spacing w:line="600" w:lineRule="exact"/>
        <w:jc w:val="center"/>
        <w:rPr>
          <w:rFonts w:ascii="方正小标宋简体" w:hAnsi="方正小标宋简体" w:eastAsia="方正小标宋简体" w:cs="方正小标宋简体"/>
          <w:kern w:val="0"/>
          <w:sz w:val="34"/>
          <w:szCs w:val="34"/>
          <w:lang w:bidi="ar"/>
        </w:rPr>
      </w:pPr>
      <w:r>
        <w:rPr>
          <w:rFonts w:hint="eastAsia" w:ascii="方正小标宋简体" w:hAnsi="方正小标宋简体" w:eastAsia="方正小标宋简体" w:cs="方正小标宋简体"/>
          <w:kern w:val="0"/>
          <w:sz w:val="34"/>
          <w:szCs w:val="34"/>
          <w:lang w:bidi="ar"/>
        </w:rPr>
        <w:t>关于做好2021年全国计算机应用水平考试工作的通知</w:t>
      </w:r>
    </w:p>
    <w:p>
      <w:pPr>
        <w:spacing w:line="600" w:lineRule="exact"/>
        <w:rPr>
          <w:rFonts w:ascii="方正小标宋简体" w:hAnsi="方正小标宋简体" w:eastAsia="方正小标宋简体" w:cs="方正小标宋简体"/>
          <w:kern w:val="0"/>
          <w:sz w:val="34"/>
          <w:szCs w:val="34"/>
          <w:lang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省内各考点：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根据教育部考试中心统一安排布置，为进一步加强全国计算机应用水平考试(以下简称NIT)考试管理，严肃考风考纪，确保疫情常态化下的考试平稳实施，现将2021年有关工作要求通知如下。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kern w:val="0"/>
          <w:sz w:val="32"/>
          <w:szCs w:val="32"/>
          <w:lang w:bidi="ar"/>
        </w:rPr>
      </w:pPr>
      <w:r>
        <w:rPr>
          <w:rFonts w:hint="eastAsia" w:ascii="黑体" w:hAnsi="黑体" w:eastAsia="黑体" w:cs="黑体"/>
          <w:kern w:val="0"/>
          <w:sz w:val="32"/>
          <w:szCs w:val="32"/>
          <w:lang w:bidi="ar"/>
        </w:rPr>
        <w:t>一、考试安排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2021年NIT将举办四次考试，时间分别为4月10日至12日、6月11日至13日、11月13日至15日、12月18日至21日(具体开考科目及科目代码见附件1)。如因疫情原因导致不能正常开考，将另行通知。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四川省全国计算机应用水平考试管理委员会（以下简称管委会）将在每次考试前</w:t>
      </w:r>
      <w:r>
        <w:rPr>
          <w:rFonts w:ascii="仿宋_GB2312" w:hAnsi="仿宋_GB2312" w:eastAsia="仿宋_GB2312" w:cs="仿宋_GB2312"/>
          <w:kern w:val="0"/>
          <w:sz w:val="32"/>
          <w:szCs w:val="32"/>
          <w:lang w:bidi="ar"/>
        </w:rPr>
        <w:t>45天开始接受各考点报名信息，报名周期为10天。请各考点根据自身实际情况，合理制定本考点2021年NIT相关工作计划，并于每次考前60天向考试管理委员会报送</w:t>
      </w:r>
      <w:r>
        <w:rPr>
          <w:rFonts w:hint="eastAsia" w:ascii="仿宋_GB2312" w:hAnsi="仿宋_GB2312" w:eastAsia="仿宋_GB2312" w:cs="仿宋_GB2312"/>
          <w:kern w:val="0"/>
          <w:sz w:val="32"/>
          <w:szCs w:val="32"/>
          <w:lang w:bidi="ar"/>
        </w:rPr>
        <w:t>“2021年四川省NIT考试考点计划表”（附件2）。</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kern w:val="0"/>
          <w:sz w:val="32"/>
          <w:szCs w:val="32"/>
          <w:lang w:bidi="ar"/>
        </w:rPr>
      </w:pPr>
      <w:r>
        <w:rPr>
          <w:rFonts w:hint="eastAsia" w:ascii="黑体" w:hAnsi="黑体" w:eastAsia="黑体" w:cs="黑体"/>
          <w:kern w:val="0"/>
          <w:sz w:val="32"/>
          <w:szCs w:val="32"/>
          <w:lang w:bidi="ar"/>
        </w:rPr>
        <w:t>二、疫情防控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为保障广大考生和考试工作人员的生命安全和身体健康，确保NIT考试安全有序组织，各考点应根据教育部考试中心印发的《新冠肺炎疫情防控常态化下全国计算机应用水平考试组考防疫工作的指导意见》，结合当地新冠肺炎疫情防控常态化下相关规定制订工作细则。各考点应高度重视2021年各次考试中的防疫工作，加强与当地卫生健康、疾控机构联系，全面落实各项防疫规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kern w:val="0"/>
          <w:sz w:val="32"/>
          <w:szCs w:val="32"/>
          <w:lang w:bidi="ar"/>
        </w:rPr>
      </w:pPr>
      <w:r>
        <w:rPr>
          <w:rFonts w:hint="eastAsia" w:ascii="黑体" w:hAnsi="黑体" w:eastAsia="黑体" w:cs="黑体"/>
          <w:kern w:val="0"/>
          <w:sz w:val="32"/>
          <w:szCs w:val="32"/>
          <w:lang w:bidi="ar"/>
        </w:rPr>
        <w:t>三、考务工作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各考点要全面总结2020年NIT各项工作，认真落实考试改革工作要求，做好2021年各项考务管理工作。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加强安全保密工作。应进一步加强NIT安全保密工作，不断强化各级考务管理人员的安全保密意识，措施到位，责任到人。严格按照NIT《考务管理规则》和《考务手册》的相关工作要求，制定本考点的考务工作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做好考风考纪管理。把考风考纪教育与考务培训工作相结合，强化考试过程的管理和监察，落实工作责任。考试期间应对所有考生、工作人员进行安检，严禁考生及考试工作人员携带手机等考试违禁物品进入考场，杜绝出现在考场违规使用手机事件的发生。坚决防范、打击有组织的集体舞弊行为，特别是有考试工作人员参与的作弊行为，维护考试正常秩序，确保考生切身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3.规范数据备份。各级考试机构要加强考后备份数据管理，确保备份数据准确无误。各考点应在当天考试结束后，由系统管理员集中回收考生单机备份数据，并将整场考试数据刻录成光盘留存3个月以便备查。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黑体" w:hAnsi="黑体" w:eastAsia="黑体" w:cs="黑体"/>
          <w:kern w:val="0"/>
          <w:sz w:val="32"/>
          <w:szCs w:val="32"/>
          <w:lang w:bidi="ar"/>
        </w:rPr>
      </w:pPr>
      <w:r>
        <w:rPr>
          <w:rFonts w:hint="eastAsia" w:ascii="黑体" w:hAnsi="黑体" w:eastAsia="黑体" w:cs="黑体"/>
          <w:kern w:val="0"/>
          <w:sz w:val="32"/>
          <w:szCs w:val="32"/>
          <w:lang w:bidi="ar"/>
        </w:rPr>
        <w:t>四、科目调整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2021年11月考试起，计算机应用基础(科目代码A012)、信息化办公(科目代码A016)、文字处理(科目代码A043)、电子表格(科目代码A052)、演示文稿制作(科目代码A062)、会计电算化(初级) (科目代码C021)、会计电算化(中级) (科目代码C022)科目的应用软件将升级到MS 0ffice2016版(中文专业版)，各考点须提前做好硬件升级与软件购置准备。</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附件: 1.2021 年NIT开考科目及科目代码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      2.2021年四川省NIT考试考点计划表</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3.高级综合应用证书置换规则</w:t>
      </w: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w:t>
      </w:r>
      <w:bookmarkStart w:id="0" w:name="OLE_LINK1"/>
      <w:r>
        <w:rPr>
          <w:rFonts w:hint="eastAsia" w:ascii="仿宋_GB2312" w:hAnsi="仿宋_GB2312" w:eastAsia="仿宋_GB2312" w:cs="仿宋_GB2312"/>
          <w:kern w:val="0"/>
          <w:sz w:val="32"/>
          <w:szCs w:val="32"/>
          <w:lang w:bidi="ar"/>
        </w:rPr>
        <w:t>《新冠肺炎疫情防控常态化下全国计算机应用水平考试组考防疫工作的指导意见》</w:t>
      </w:r>
    </w:p>
    <w:bookmarkEnd w:id="0"/>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四川省</w:t>
      </w:r>
      <w:r>
        <w:rPr>
          <w:rFonts w:hint="eastAsia" w:ascii="仿宋_GB2312" w:hAnsi="仿宋_GB2312" w:eastAsia="仿宋_GB2312" w:cs="仿宋_GB2312"/>
          <w:color w:val="000000"/>
          <w:kern w:val="0"/>
          <w:sz w:val="32"/>
          <w:szCs w:val="32"/>
        </w:rPr>
        <w:t>全国计算机应用水平考试管理委员会</w:t>
      </w:r>
    </w:p>
    <w:p>
      <w:pPr>
        <w:pStyle w:val="19"/>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二〇二一年一月</w:t>
      </w:r>
      <w:r>
        <w:rPr>
          <w:rFonts w:hint="eastAsia" w:ascii="仿宋_GB2312" w:hAnsi="仿宋_GB2312" w:eastAsia="仿宋_GB2312" w:cs="仿宋_GB2312"/>
          <w:kern w:val="0"/>
          <w:sz w:val="32"/>
          <w:szCs w:val="32"/>
          <w:lang w:val="en-US" w:eastAsia="zh-CN" w:bidi="ar"/>
        </w:rPr>
        <w:t>二十二</w:t>
      </w:r>
      <w:r>
        <w:rPr>
          <w:rFonts w:hint="eastAsia" w:ascii="仿宋_GB2312" w:hAnsi="仿宋_GB2312" w:eastAsia="仿宋_GB2312" w:cs="仿宋_GB2312"/>
          <w:kern w:val="0"/>
          <w:sz w:val="32"/>
          <w:szCs w:val="32"/>
          <w:lang w:bidi="ar"/>
        </w:rPr>
        <w:t>日</w:t>
      </w:r>
    </w:p>
    <w:p>
      <w:pPr>
        <w:spacing w:line="580" w:lineRule="exact"/>
        <w:rPr>
          <w:rFonts w:asciiTheme="minorEastAsia" w:hAnsiTheme="minorEastAsia" w:eastAsiaTheme="minorEastAsia" w:cstheme="minorEastAsia"/>
          <w:kern w:val="0"/>
          <w:sz w:val="32"/>
          <w:szCs w:val="32"/>
          <w:lang w:bidi="ar"/>
        </w:rPr>
      </w:pPr>
    </w:p>
    <w:p>
      <w:pPr>
        <w:spacing w:line="580" w:lineRule="exact"/>
        <w:rPr>
          <w:rFonts w:asciiTheme="minorEastAsia" w:hAnsiTheme="minorEastAsia" w:eastAsiaTheme="minorEastAsia" w:cstheme="minorEastAsia"/>
          <w:kern w:val="0"/>
          <w:sz w:val="32"/>
          <w:szCs w:val="32"/>
          <w:lang w:bidi="ar"/>
        </w:rPr>
      </w:pPr>
    </w:p>
    <w:p>
      <w:pPr>
        <w:spacing w:line="580" w:lineRule="exact"/>
        <w:rPr>
          <w:rFonts w:hint="default" w:asciiTheme="minorEastAsia" w:hAnsiTheme="minorEastAsia" w:eastAsiaTheme="minorEastAsia" w:cstheme="minorEastAsia"/>
          <w:sz w:val="32"/>
          <w:szCs w:val="32"/>
          <w:lang w:val="en-US"/>
        </w:rPr>
      </w:pPr>
      <w:r>
        <w:rPr>
          <w:rFonts w:asciiTheme="minorEastAsia" w:hAnsiTheme="minorEastAsia" w:eastAsiaTheme="minorEastAsia" w:cstheme="minorEastAsia"/>
          <w:b/>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-18415</wp:posOffset>
                </wp:positionH>
                <wp:positionV relativeFrom="paragraph">
                  <wp:posOffset>6350</wp:posOffset>
                </wp:positionV>
                <wp:extent cx="5409565" cy="1079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409565" cy="10795"/>
                        </a:xfrm>
                        <a:prstGeom prst="line">
                          <a:avLst/>
                        </a:prstGeom>
                        <a:ln w="19050"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flip:y;margin-left:-1.45pt;margin-top:0.5pt;height:0.85pt;width:425.95pt;z-index:251664384;mso-width-relative:page;mso-height-relative:page;" filled="f" stroked="t" coordsize="21600,21600" o:gfxdata="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aDUSNUAAAAGAQAADwAAAAAAAAABACAAAAAiAAAAZHJzL2Rvd25yZXYueG1s&#10;UEsBAhQAFAAAAAgAh07iQPj06/P7AQAA8QMAAA4AAAAAAAAAAQAgAAAAJAEAAGRycy9lMm9Eb2Mu&#10;eG1sUEsFBgAAAAAGAAYAWQEAAJEFAAA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kern w:val="0"/>
          <w:sz w:val="32"/>
          <w:szCs w:val="32"/>
          <w:lang w:bidi="ar"/>
        </w:rPr>
        <w:t>发：</w:t>
      </w:r>
      <w:r>
        <w:rPr>
          <w:rFonts w:hint="eastAsia" w:asciiTheme="minorEastAsia" w:hAnsiTheme="minorEastAsia" w:eastAsiaTheme="minorEastAsia" w:cstheme="minorEastAsia"/>
          <w:sz w:val="32"/>
          <w:szCs w:val="32"/>
          <w:lang w:val="en-US" w:eastAsia="zh-CN"/>
        </w:rPr>
        <w:t>省内各省点</w:t>
      </w:r>
    </w:p>
    <w:p>
      <w:pPr>
        <w:spacing w:line="580" w:lineRule="exact"/>
        <w:rPr>
          <w:rFonts w:hint="eastAsia" w:ascii="仿宋_GB2312" w:hAnsi="仿宋_GB2312" w:eastAsia="仿宋_GB2312" w:cs="仿宋_GB2312"/>
          <w:kern w:val="0"/>
          <w:sz w:val="32"/>
          <w:szCs w:val="32"/>
          <w:lang w:bidi="ar"/>
        </w:rPr>
      </w:pPr>
      <w:r>
        <w:rPr>
          <w:rFonts w:asciiTheme="minorEastAsia" w:hAnsiTheme="minorEastAsia" w:eastAsiaTheme="minorEastAsia" w:cstheme="minorEastAsia"/>
          <w:b/>
          <w:color w:val="FF0000"/>
          <w:sz w:val="32"/>
          <w:szCs w:val="32"/>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34925</wp:posOffset>
                </wp:positionV>
                <wp:extent cx="5418455" cy="1841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18455" cy="18415"/>
                        </a:xfrm>
                        <a:prstGeom prst="line">
                          <a:avLst/>
                        </a:prstGeom>
                        <a:ln w="19050" cap="flat" cmpd="sng">
                          <a:solidFill>
                            <a:srgbClr val="000000"/>
                          </a:solidFill>
                          <a:prstDash val="solid"/>
                          <a:round/>
                          <a:headEnd type="none" w="med" len="med"/>
                          <a:tailEnd type="none" w="med" len="med"/>
                        </a:ln>
                      </wps:spPr>
                      <wps:bodyPr/>
                    </wps:wsp>
                  </a:graphicData>
                </a:graphic>
              </wp:anchor>
            </w:drawing>
          </mc:Choice>
          <mc:Fallback>
            <w:pict>
              <v:line id="_x0000_s1026" o:spid="_x0000_s1026" o:spt="20" style="position:absolute;left:0pt;flip:y;margin-left:-2.2pt;margin-top:2.75pt;height:1.45pt;width:426.65pt;z-index:251663360;mso-width-relative:page;mso-height-relative:page;" filled="f" stroked="t" coordsize="21600,21600" o:gfxdata="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k7UX1AAAAAYBAAAPAAAAAAAAAAEAIAAAACIAAABkcnMvZG93bnJldi54bWxQ&#10;SwECFAAUAAAACACHTuJAF8yOifsBAADxAwAADgAAAAAAAAABACAAAAAjAQAAZHJzL2Uyb0RvYy54&#10;bWxQSwUGAAAAAAYABgBZAQAAkAUAAAAA&#10;">
                <v:fill on="f" focussize="0,0"/>
                <v:stroke weight="1.5pt" color="#000000" joinstyle="round"/>
                <v:imagedata o:title=""/>
                <o:lock v:ext="edit" aspectratio="f"/>
              </v:line>
            </w:pict>
          </mc:Fallback>
        </mc:AlternateContent>
      </w:r>
      <w:r>
        <w:rPr>
          <w:rFonts w:hint="eastAsia" w:asciiTheme="minorEastAsia" w:hAnsiTheme="minorEastAsia" w:eastAsiaTheme="minorEastAsia" w:cstheme="minorEastAsia"/>
          <w:b/>
          <w:color w:val="FF0000"/>
          <w:sz w:val="32"/>
          <w:szCs w:val="32"/>
        </w:rPr>
        <w:t xml:space="preserve">                                      </w:t>
      </w:r>
      <w:r>
        <w:rPr>
          <w:rFonts w:hint="eastAsia" w:asciiTheme="minorEastAsia" w:hAnsiTheme="minorEastAsia" w:eastAsiaTheme="minorEastAsia" w:cstheme="minorEastAsia"/>
          <w:kern w:val="0"/>
          <w:sz w:val="32"/>
          <w:szCs w:val="32"/>
          <w:lang w:bidi="ar"/>
        </w:rPr>
        <w:t xml:space="preserve"> 共印</w:t>
      </w:r>
      <w:r>
        <w:rPr>
          <w:rFonts w:hint="eastAsia" w:asciiTheme="minorEastAsia" w:hAnsiTheme="minorEastAsia" w:eastAsiaTheme="minorEastAsia" w:cstheme="minorEastAsia"/>
          <w:kern w:val="0"/>
          <w:sz w:val="32"/>
          <w:szCs w:val="32"/>
          <w:lang w:val="en-US" w:eastAsia="zh-CN" w:bidi="ar"/>
        </w:rPr>
        <w:t>100</w:t>
      </w:r>
      <w:r>
        <w:rPr>
          <w:rFonts w:hint="eastAsia" w:asciiTheme="minorEastAsia" w:hAnsiTheme="minorEastAsia" w:eastAsiaTheme="minorEastAsia" w:cstheme="minorEastAsia"/>
          <w:kern w:val="0"/>
          <w:sz w:val="32"/>
          <w:szCs w:val="32"/>
          <w:lang w:bidi="ar"/>
        </w:rPr>
        <w:t>份</w:t>
      </w:r>
    </w:p>
    <w:p>
      <w:pPr>
        <w:pStyle w:val="9"/>
        <w:shd w:val="clear" w:color="auto" w:fill="FFFFFF"/>
        <w:spacing w:after="0" w:afterAutospacing="0" w:line="440" w:lineRule="exact"/>
        <w:jc w:val="both"/>
        <w:rPr>
          <w:rStyle w:val="13"/>
          <w:rFonts w:hint="eastAsia" w:ascii="仿宋_GB2312" w:hAnsi="仿宋_GB2312" w:eastAsia="仿宋_GB2312" w:cs="仿宋_GB2312"/>
          <w:color w:val="333333"/>
          <w:sz w:val="30"/>
          <w:szCs w:val="30"/>
          <w:shd w:val="clear" w:color="auto" w:fill="FFFFFF"/>
          <w:lang w:val="en-US" w:eastAsia="zh-CN"/>
        </w:rPr>
      </w:pPr>
      <w:r>
        <w:rPr>
          <w:rStyle w:val="13"/>
          <w:rFonts w:hint="eastAsia" w:ascii="仿宋_GB2312" w:hAnsi="仿宋_GB2312" w:eastAsia="仿宋_GB2312" w:cs="仿宋_GB2312"/>
          <w:color w:val="333333"/>
          <w:sz w:val="30"/>
          <w:szCs w:val="30"/>
          <w:shd w:val="clear" w:color="auto" w:fill="FFFFFF"/>
          <w:lang w:val="en-US" w:eastAsia="zh-CN"/>
        </w:rPr>
        <w:t>附件1：</w:t>
      </w:r>
    </w:p>
    <w:p>
      <w:pPr>
        <w:pStyle w:val="9"/>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157" w:afterLines="50" w:afterAutospacing="0" w:line="200" w:lineRule="exact"/>
        <w:jc w:val="center"/>
        <w:textAlignment w:val="auto"/>
        <w:rPr>
          <w:rFonts w:ascii="方正小标宋简体" w:hAnsi="方正小标宋简体" w:eastAsia="方正小标宋简体" w:cs="方正小标宋简体"/>
          <w:color w:val="333333"/>
          <w:sz w:val="32"/>
          <w:szCs w:val="32"/>
        </w:rPr>
      </w:pPr>
      <w:r>
        <w:rPr>
          <w:rStyle w:val="13"/>
          <w:rFonts w:hint="eastAsia" w:ascii="方正小标宋简体" w:hAnsi="方正小标宋简体" w:eastAsia="方正小标宋简体" w:cs="方正小标宋简体"/>
          <w:color w:val="333333"/>
          <w:sz w:val="32"/>
          <w:szCs w:val="32"/>
          <w:shd w:val="clear" w:color="auto" w:fill="FFFFFF"/>
        </w:rPr>
        <w:t>2021年开考科目及应用软件要求</w:t>
      </w:r>
    </w:p>
    <w:tbl>
      <w:tblPr>
        <w:tblStyle w:val="10"/>
        <w:tblW w:w="905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Layout w:type="autofit"/>
        <w:tblCellMar>
          <w:top w:w="75" w:type="dxa"/>
          <w:left w:w="75" w:type="dxa"/>
          <w:bottom w:w="75" w:type="dxa"/>
          <w:right w:w="75" w:type="dxa"/>
        </w:tblCellMar>
      </w:tblPr>
      <w:tblGrid>
        <w:gridCol w:w="756"/>
        <w:gridCol w:w="2357"/>
        <w:gridCol w:w="850"/>
        <w:gridCol w:w="2836"/>
        <w:gridCol w:w="709"/>
        <w:gridCol w:w="1542"/>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90" w:hRule="atLeast"/>
          <w:jc w:val="center"/>
        </w:trPr>
        <w:tc>
          <w:tcPr>
            <w:tcW w:w="756" w:type="dxa"/>
            <w:tcBorders>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编号</w:t>
            </w:r>
          </w:p>
        </w:tc>
        <w:tc>
          <w:tcPr>
            <w:tcW w:w="2358" w:type="dxa"/>
            <w:tcBorders>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科目名称</w:t>
            </w:r>
          </w:p>
        </w:tc>
        <w:tc>
          <w:tcPr>
            <w:tcW w:w="850" w:type="dxa"/>
            <w:tcBorders>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科目</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代码</w:t>
            </w:r>
          </w:p>
        </w:tc>
        <w:tc>
          <w:tcPr>
            <w:tcW w:w="2837" w:type="dxa"/>
            <w:tcBorders>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软件名称或内容</w:t>
            </w:r>
          </w:p>
        </w:tc>
        <w:tc>
          <w:tcPr>
            <w:tcW w:w="709" w:type="dxa"/>
            <w:tcBorders>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说明</w:t>
            </w:r>
          </w:p>
        </w:tc>
        <w:tc>
          <w:tcPr>
            <w:tcW w:w="1542" w:type="dxa"/>
            <w:tcBorders>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考试形式</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（时长）</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473" w:hRule="atLeast"/>
          <w:jc w:val="center"/>
        </w:trPr>
        <w:tc>
          <w:tcPr>
            <w:tcW w:w="9050" w:type="dxa"/>
            <w:gridSpan w:val="6"/>
            <w:tcBorders>
              <w:top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Style w:val="13"/>
                <w:rFonts w:hint="eastAsia" w:ascii="方正楷体简体" w:hAnsi="方正楷体简体" w:eastAsia="方正楷体简体" w:cs="方正楷体简体"/>
                <w:color w:val="333333"/>
                <w:sz w:val="24"/>
                <w:szCs w:val="24"/>
              </w:rPr>
              <w:t>基础科目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366" w:hRule="atLeast"/>
          <w:jc w:val="center"/>
        </w:trPr>
        <w:tc>
          <w:tcPr>
            <w:tcW w:w="9050" w:type="dxa"/>
            <w:gridSpan w:val="6"/>
            <w:tcBorders>
              <w:top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一、办公软件应用类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576" w:hRule="atLeast"/>
          <w:jc w:val="center"/>
        </w:trPr>
        <w:tc>
          <w:tcPr>
            <w:tcW w:w="756" w:type="dxa"/>
            <w:vMerge w:val="restart"/>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A01</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计算机应用基础</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A012</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Windows 7、Office 2010（11月起使用Office 2016）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576" w:hRule="atLeast"/>
          <w:jc w:val="center"/>
        </w:trPr>
        <w:tc>
          <w:tcPr>
            <w:tcW w:w="756" w:type="dxa"/>
            <w:vMerge w:val="continue"/>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200" w:lineRule="exact"/>
              <w:jc w:val="left"/>
              <w:textAlignment w:val="auto"/>
              <w:rPr>
                <w:rFonts w:ascii="方正楷体简体" w:hAnsi="方正楷体简体" w:eastAsia="方正楷体简体" w:cs="方正楷体简体"/>
                <w:color w:val="333333"/>
                <w:sz w:val="24"/>
                <w:szCs w:val="24"/>
              </w:rPr>
            </w:pP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信息化办公</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A016</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Windows 7、Office 2010（11月起使用Office 2016）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69"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A02</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管理系统中信息</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技术的应用</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A021</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Visual FoxPro 6.0</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513"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A04</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文字处理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A043</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Word 2010（11月起使用Office 2016）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77"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A05</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电子表格</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A052</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Excel 2010（11月起使用Office 2016）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73"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A06</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演示文稿制作</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A062</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Power Point 2010（11月起使用Office 2016）</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287" w:hRule="atLeast"/>
          <w:jc w:val="center"/>
        </w:trPr>
        <w:tc>
          <w:tcPr>
            <w:tcW w:w="9050" w:type="dxa"/>
            <w:gridSpan w:val="6"/>
            <w:tcBorders>
              <w:top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二、设计软件应用类</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48"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B01</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图像处理</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B013</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Photoshop CS3</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534"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B02</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网页制作</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B023</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Dreamweaver MX</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61" w:hRule="atLeast"/>
          <w:jc w:val="center"/>
        </w:trPr>
        <w:tc>
          <w:tcPr>
            <w:tcW w:w="756" w:type="dxa"/>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B07</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计算机绘图</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B075</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AutoCAD 2007</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(120分钟)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263" w:hRule="atLeast"/>
          <w:jc w:val="center"/>
        </w:trPr>
        <w:tc>
          <w:tcPr>
            <w:tcW w:w="9050" w:type="dxa"/>
            <w:gridSpan w:val="6"/>
            <w:tcBorders>
              <w:top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Style w:val="13"/>
                <w:rFonts w:hint="eastAsia" w:ascii="方正楷体简体" w:hAnsi="方正楷体简体" w:eastAsia="方正楷体简体" w:cs="方正楷体简体"/>
                <w:color w:val="333333"/>
                <w:sz w:val="24"/>
                <w:szCs w:val="24"/>
              </w:rPr>
              <w:t>专业科目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36" w:hRule="atLeast"/>
          <w:jc w:val="center"/>
        </w:trPr>
        <w:tc>
          <w:tcPr>
            <w:tcW w:w="756" w:type="dxa"/>
            <w:vMerge w:val="restart"/>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C01</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财税知识基础应用</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C011</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财税相关专业知识</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86" w:hRule="atLeast"/>
          <w:jc w:val="center"/>
        </w:trPr>
        <w:tc>
          <w:tcPr>
            <w:tcW w:w="756" w:type="dxa"/>
            <w:vMerge w:val="continue"/>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200" w:lineRule="exact"/>
              <w:jc w:val="left"/>
              <w:textAlignment w:val="auto"/>
              <w:rPr>
                <w:rFonts w:ascii="方正楷体简体" w:hAnsi="方正楷体简体" w:eastAsia="方正楷体简体" w:cs="方正楷体简体"/>
                <w:color w:val="333333"/>
                <w:sz w:val="24"/>
                <w:szCs w:val="24"/>
              </w:rPr>
            </w:pP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财税知识综合应用</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C012</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财税相关专业知识</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(120分钟)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69" w:hRule="atLeast"/>
          <w:jc w:val="center"/>
        </w:trPr>
        <w:tc>
          <w:tcPr>
            <w:tcW w:w="756" w:type="dxa"/>
            <w:vMerge w:val="restart"/>
            <w:tcBorders>
              <w:top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C02</w:t>
            </w:r>
          </w:p>
        </w:tc>
        <w:tc>
          <w:tcPr>
            <w:tcW w:w="235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会计电算化（初级）</w:t>
            </w:r>
          </w:p>
        </w:tc>
        <w:tc>
          <w:tcPr>
            <w:tcW w:w="8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C021</w:t>
            </w:r>
          </w:p>
        </w:tc>
        <w:tc>
          <w:tcPr>
            <w:tcW w:w="283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Excel 2010（11月起使用Office 2016）、财税相关应用软件</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(100分钟)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FFFFFF"/>
          <w:tblCellMar>
            <w:top w:w="75" w:type="dxa"/>
            <w:left w:w="75" w:type="dxa"/>
            <w:bottom w:w="75" w:type="dxa"/>
            <w:right w:w="75" w:type="dxa"/>
          </w:tblCellMar>
        </w:tblPrEx>
        <w:trPr>
          <w:trHeight w:val="679" w:hRule="atLeast"/>
          <w:jc w:val="center"/>
        </w:trPr>
        <w:tc>
          <w:tcPr>
            <w:tcW w:w="756" w:type="dxa"/>
            <w:vMerge w:val="continue"/>
            <w:tcBorders>
              <w:top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200" w:lineRule="exact"/>
              <w:jc w:val="left"/>
              <w:textAlignment w:val="auto"/>
              <w:rPr>
                <w:rFonts w:ascii="方正楷体简体" w:hAnsi="方正楷体简体" w:eastAsia="方正楷体简体" w:cs="方正楷体简体"/>
                <w:color w:val="333333"/>
                <w:sz w:val="24"/>
                <w:szCs w:val="24"/>
              </w:rPr>
            </w:pPr>
          </w:p>
        </w:tc>
        <w:tc>
          <w:tcPr>
            <w:tcW w:w="2358"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会计电算化（中级）</w:t>
            </w:r>
          </w:p>
        </w:tc>
        <w:tc>
          <w:tcPr>
            <w:tcW w:w="850"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C022</w:t>
            </w:r>
          </w:p>
        </w:tc>
        <w:tc>
          <w:tcPr>
            <w:tcW w:w="2837"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Excel 2010（11月起使用Office 2016）、财税相关应用软件</w:t>
            </w:r>
          </w:p>
        </w:tc>
        <w:tc>
          <w:tcPr>
            <w:tcW w:w="709"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both"/>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开考</w:t>
            </w:r>
          </w:p>
        </w:tc>
        <w:tc>
          <w:tcPr>
            <w:tcW w:w="1542" w:type="dxa"/>
            <w:tcBorders>
              <w:top w:val="single" w:color="auto" w:sz="4" w:space="0"/>
              <w:left w:val="single" w:color="auto" w:sz="4" w:space="0"/>
            </w:tcBorders>
            <w:shd w:val="clear" w:color="auto" w:fill="FFFFFF"/>
            <w:vAlign w:val="center"/>
          </w:tcPr>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机考</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200" w:lineRule="exact"/>
              <w:jc w:val="center"/>
              <w:textAlignment w:val="auto"/>
              <w:rPr>
                <w:rFonts w:ascii="方正楷体简体" w:hAnsi="方正楷体简体" w:eastAsia="方正楷体简体" w:cs="方正楷体简体"/>
                <w:color w:val="333333"/>
                <w:sz w:val="24"/>
                <w:szCs w:val="24"/>
              </w:rPr>
            </w:pPr>
            <w:r>
              <w:rPr>
                <w:rFonts w:hint="eastAsia" w:ascii="方正楷体简体" w:hAnsi="方正楷体简体" w:eastAsia="方正楷体简体" w:cs="方正楷体简体"/>
                <w:color w:val="333333"/>
                <w:sz w:val="24"/>
                <w:szCs w:val="24"/>
              </w:rPr>
              <w:t> (120分钟)</w:t>
            </w:r>
          </w:p>
        </w:tc>
      </w:tr>
    </w:tbl>
    <w:p>
      <w:pPr>
        <w:pStyle w:val="9"/>
        <w:shd w:val="clear" w:color="auto" w:fill="FFFFFF"/>
        <w:spacing w:after="300" w:afterAutospacing="0"/>
        <w:jc w:val="both"/>
        <w:rPr>
          <w:rFonts w:hint="eastAsia" w:ascii="楷体_GB2312" w:hAnsi="楷体_GB2312" w:eastAsia="楷体_GB2312" w:cs="楷体_GB2312"/>
          <w:color w:val="333333"/>
          <w:sz w:val="30"/>
          <w:szCs w:val="30"/>
          <w:shd w:val="clear" w:color="auto" w:fill="FFFFFF"/>
          <w:lang w:eastAsia="zh-CN"/>
        </w:rPr>
      </w:pPr>
      <w:r>
        <w:rPr>
          <w:rFonts w:hint="eastAsia" w:ascii="楷体_GB2312" w:hAnsi="楷体_GB2312" w:eastAsia="楷体_GB2312" w:cs="楷体_GB2312"/>
          <w:color w:val="333333"/>
          <w:sz w:val="30"/>
          <w:szCs w:val="30"/>
          <w:shd w:val="clear" w:color="auto" w:fill="FFFFFF"/>
        </w:rPr>
        <w:t>附件2</w:t>
      </w:r>
      <w:r>
        <w:rPr>
          <w:rFonts w:hint="eastAsia" w:ascii="楷体_GB2312" w:hAnsi="楷体_GB2312" w:eastAsia="楷体_GB2312" w:cs="楷体_GB2312"/>
          <w:color w:val="333333"/>
          <w:sz w:val="30"/>
          <w:szCs w:val="30"/>
          <w:shd w:val="clear" w:color="auto" w:fill="FFFFFF"/>
          <w:lang w:eastAsia="zh-CN"/>
        </w:rPr>
        <w:t>：</w:t>
      </w:r>
    </w:p>
    <w:p>
      <w:pPr>
        <w:pStyle w:val="9"/>
        <w:shd w:val="clear" w:color="auto" w:fill="FFFFFF"/>
        <w:spacing w:after="300" w:afterAutospacing="0"/>
        <w:jc w:val="both"/>
        <w:rPr>
          <w:rFonts w:hint="eastAsia" w:ascii="楷体_GB2312" w:hAnsi="楷体_GB2312" w:eastAsia="楷体_GB2312" w:cs="楷体_GB2312"/>
          <w:color w:val="333333"/>
          <w:sz w:val="30"/>
          <w:szCs w:val="30"/>
          <w:shd w:val="clear" w:color="auto" w:fill="FFFFFF"/>
          <w:lang w:eastAsia="zh-CN"/>
        </w:rPr>
      </w:pPr>
    </w:p>
    <w:p>
      <w:pPr>
        <w:pStyle w:val="9"/>
        <w:keepNext w:val="0"/>
        <w:keepLines w:val="0"/>
        <w:pageBreakBefore w:val="0"/>
        <w:widowControl/>
        <w:shd w:val="clear" w:color="auto" w:fill="FFFFFF"/>
        <w:kinsoku/>
        <w:wordWrap/>
        <w:overflowPunct/>
        <w:topLinePunct w:val="0"/>
        <w:autoSpaceDE/>
        <w:autoSpaceDN/>
        <w:bidi w:val="0"/>
        <w:adjustRightInd/>
        <w:snapToGrid/>
        <w:spacing w:after="313" w:afterLines="100" w:afterAutospacing="0" w:line="600" w:lineRule="exact"/>
        <w:jc w:val="center"/>
        <w:textAlignment w:val="auto"/>
        <w:rPr>
          <w:rFonts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2021年四川省NIT考试考点计划表</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231"/>
        <w:gridCol w:w="992"/>
        <w:gridCol w:w="992"/>
        <w:gridCol w:w="21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2130"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考点名称</w:t>
            </w:r>
          </w:p>
        </w:tc>
        <w:tc>
          <w:tcPr>
            <w:tcW w:w="6392" w:type="dxa"/>
            <w:gridSpan w:val="4"/>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9" w:hRule="atLeast"/>
        </w:trPr>
        <w:tc>
          <w:tcPr>
            <w:tcW w:w="2130"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通讯地址</w:t>
            </w:r>
          </w:p>
        </w:tc>
        <w:tc>
          <w:tcPr>
            <w:tcW w:w="6392" w:type="dxa"/>
            <w:gridSpan w:val="4"/>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trPr>
        <w:tc>
          <w:tcPr>
            <w:tcW w:w="2130"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电子邮箱</w:t>
            </w:r>
          </w:p>
        </w:tc>
        <w:tc>
          <w:tcPr>
            <w:tcW w:w="3223" w:type="dxa"/>
            <w:gridSpan w:val="2"/>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p>
        </w:tc>
        <w:tc>
          <w:tcPr>
            <w:tcW w:w="992"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邮编</w:t>
            </w:r>
          </w:p>
        </w:tc>
        <w:tc>
          <w:tcPr>
            <w:tcW w:w="2177"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trPr>
        <w:tc>
          <w:tcPr>
            <w:tcW w:w="2130"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联系人</w:t>
            </w:r>
          </w:p>
        </w:tc>
        <w:tc>
          <w:tcPr>
            <w:tcW w:w="2231"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p>
        </w:tc>
        <w:tc>
          <w:tcPr>
            <w:tcW w:w="1984" w:type="dxa"/>
            <w:gridSpan w:val="2"/>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联系电话</w:t>
            </w:r>
          </w:p>
        </w:tc>
        <w:tc>
          <w:tcPr>
            <w:tcW w:w="2177"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p>
        </w:tc>
      </w:tr>
    </w:tbl>
    <w:tbl>
      <w:tblPr>
        <w:tblStyle w:val="11"/>
        <w:tblpPr w:leftFromText="180" w:rightFromText="180" w:vertAnchor="text" w:horzAnchor="margin" w:tblpY="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考次</w:t>
            </w:r>
          </w:p>
        </w:tc>
        <w:tc>
          <w:tcPr>
            <w:tcW w:w="2841"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考试时间</w:t>
            </w:r>
          </w:p>
        </w:tc>
        <w:tc>
          <w:tcPr>
            <w:tcW w:w="2841" w:type="dxa"/>
          </w:tcPr>
          <w:p>
            <w:pPr>
              <w:pStyle w:val="9"/>
              <w:snapToGrid w:val="0"/>
              <w:spacing w:after="0" w:afterAutospacing="0"/>
              <w:jc w:val="center"/>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考试科目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2840"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c>
          <w:tcPr>
            <w:tcW w:w="2841" w:type="dxa"/>
          </w:tcPr>
          <w:p>
            <w:pPr>
              <w:pStyle w:val="9"/>
              <w:spacing w:after="0" w:afterAutospacing="0"/>
              <w:jc w:val="both"/>
              <w:rPr>
                <w:rFonts w:ascii="仿宋_GB2312" w:hAnsi="仿宋_GB2312" w:eastAsia="仿宋_GB2312" w:cs="仿宋_GB2312"/>
                <w:color w:val="333333"/>
                <w:sz w:val="30"/>
                <w:szCs w:val="30"/>
                <w:shd w:val="clear" w:color="auto" w:fill="FFFFFF"/>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16" w:hRule="atLeast"/>
        </w:trPr>
        <w:tc>
          <w:tcPr>
            <w:tcW w:w="8522" w:type="dxa"/>
            <w:gridSpan w:val="3"/>
          </w:tcPr>
          <w:p>
            <w:pPr>
              <w:pStyle w:val="9"/>
              <w:spacing w:after="0" w:afterAutospacing="0"/>
              <w:jc w:val="both"/>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考点名称：</w:t>
            </w:r>
          </w:p>
          <w:p>
            <w:pPr>
              <w:pStyle w:val="9"/>
              <w:spacing w:after="0" w:afterAutospacing="0"/>
              <w:ind w:firstLine="5100" w:firstLineChars="1700"/>
              <w:jc w:val="both"/>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 xml:space="preserve">签字：（公章）      </w:t>
            </w:r>
          </w:p>
          <w:p>
            <w:pPr>
              <w:pStyle w:val="9"/>
              <w:wordWrap w:val="0"/>
              <w:spacing w:after="0" w:afterAutospacing="0"/>
              <w:ind w:right="420"/>
              <w:jc w:val="right"/>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30"/>
                <w:szCs w:val="30"/>
                <w:shd w:val="clear" w:color="auto" w:fill="FFFFFF"/>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62" w:hRule="atLeast"/>
        </w:trPr>
        <w:tc>
          <w:tcPr>
            <w:tcW w:w="8522" w:type="dxa"/>
            <w:gridSpan w:val="3"/>
          </w:tcPr>
          <w:p>
            <w:pPr>
              <w:pStyle w:val="9"/>
              <w:spacing w:after="0" w:afterAutospacing="0" w:line="200" w:lineRule="exact"/>
              <w:jc w:val="both"/>
              <w:rPr>
                <w:rFonts w:ascii="方正楷体简体" w:hAnsi="方正楷体简体" w:eastAsia="方正楷体简体" w:cs="方正楷体简体"/>
                <w:color w:val="333333"/>
                <w:sz w:val="21"/>
                <w:szCs w:val="21"/>
                <w:shd w:val="clear" w:color="auto" w:fill="FFFFFF"/>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说明：1</w:t>
            </w:r>
            <w:r>
              <w:rPr>
                <w:rFonts w:hint="eastAsia" w:ascii="仿宋_GB2312" w:hAnsi="仿宋_GB2312" w:eastAsia="仿宋_GB2312" w:cs="仿宋_GB2312"/>
                <w:color w:val="333333"/>
                <w:sz w:val="28"/>
                <w:szCs w:val="28"/>
                <w:shd w:val="clear" w:color="auto" w:fill="FFFFFF"/>
                <w:lang w:val="en-US" w:eastAsia="zh-CN"/>
              </w:rPr>
              <w:t>.</w:t>
            </w:r>
            <w:r>
              <w:rPr>
                <w:rFonts w:hint="eastAsia" w:ascii="仿宋_GB2312" w:hAnsi="仿宋_GB2312" w:eastAsia="仿宋_GB2312" w:cs="仿宋_GB2312"/>
                <w:color w:val="333333"/>
                <w:sz w:val="28"/>
                <w:szCs w:val="28"/>
                <w:shd w:val="clear" w:color="auto" w:fill="FFFFFF"/>
              </w:rPr>
              <w:t>各考点开考科目单次报名人数原则上不得少于30人次。</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840" w:firstLineChars="300"/>
              <w:jc w:val="both"/>
              <w:textAlignment w:val="auto"/>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lang w:val="en-US" w:eastAsia="zh-CN"/>
              </w:rPr>
              <w:t>2.</w:t>
            </w:r>
            <w:r>
              <w:rPr>
                <w:rFonts w:hint="eastAsia" w:ascii="仿宋_GB2312" w:hAnsi="仿宋_GB2312" w:eastAsia="仿宋_GB2312" w:cs="仿宋_GB2312"/>
                <w:color w:val="333333"/>
                <w:sz w:val="28"/>
                <w:szCs w:val="28"/>
                <w:shd w:val="clear" w:color="auto" w:fill="FFFFFF"/>
              </w:rPr>
              <w:t>请于考前60天将原件加盖公章寄回管委会或将扫描件发送电子邮件至</w:t>
            </w:r>
            <w:r>
              <w:rPr>
                <w:rFonts w:hint="eastAsia" w:ascii="仿宋_GB2312" w:hAnsi="仿宋_GB2312" w:eastAsia="仿宋_GB2312" w:cs="仿宋_GB2312"/>
                <w:color w:val="333333"/>
                <w:sz w:val="28"/>
                <w:szCs w:val="28"/>
                <w:shd w:val="clear" w:color="auto" w:fill="FFFFFF"/>
                <w:lang w:val="en-US" w:eastAsia="zh-CN"/>
              </w:rPr>
              <w:t>849090419@qq.com</w:t>
            </w:r>
            <w:r>
              <w:rPr>
                <w:rFonts w:hint="eastAsia" w:ascii="仿宋_GB2312" w:hAnsi="仿宋_GB2312" w:eastAsia="仿宋_GB2312" w:cs="仿宋_GB2312"/>
                <w:color w:val="333333"/>
                <w:sz w:val="28"/>
                <w:szCs w:val="28"/>
                <w:shd w:val="clear" w:color="auto" w:fill="FFFFFF"/>
              </w:rPr>
              <w:t>邮箱。</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jc w:val="both"/>
              <w:textAlignment w:val="auto"/>
              <w:rPr>
                <w:rFonts w:ascii="仿宋_GB2312" w:hAnsi="仿宋_GB2312" w:eastAsia="仿宋_GB2312" w:cs="仿宋_GB2312"/>
                <w:color w:val="333333"/>
                <w:sz w:val="30"/>
                <w:szCs w:val="30"/>
                <w:shd w:val="clear" w:color="auto" w:fill="FFFFFF"/>
              </w:rPr>
            </w:pPr>
            <w:r>
              <w:rPr>
                <w:rFonts w:hint="eastAsia" w:ascii="仿宋_GB2312" w:hAnsi="仿宋_GB2312" w:eastAsia="仿宋_GB2312" w:cs="仿宋_GB2312"/>
                <w:color w:val="333333"/>
                <w:sz w:val="28"/>
                <w:szCs w:val="28"/>
                <w:shd w:val="clear" w:color="auto" w:fill="FFFFFF"/>
              </w:rPr>
              <w:t xml:space="preserve">     </w:t>
            </w:r>
            <w:r>
              <w:rPr>
                <w:rFonts w:hint="eastAsia" w:ascii="仿宋_GB2312" w:hAnsi="仿宋_GB2312" w:eastAsia="仿宋_GB2312" w:cs="仿宋_GB2312"/>
                <w:color w:val="333333"/>
                <w:sz w:val="28"/>
                <w:szCs w:val="28"/>
                <w:shd w:val="clear" w:color="auto" w:fill="FFFFFF"/>
                <w:lang w:val="en-US" w:eastAsia="zh-CN"/>
              </w:rPr>
              <w:t xml:space="preserve"> 3.</w:t>
            </w:r>
            <w:r>
              <w:rPr>
                <w:rFonts w:hint="eastAsia" w:ascii="仿宋_GB2312" w:hAnsi="仿宋_GB2312" w:eastAsia="仿宋_GB2312" w:cs="仿宋_GB2312"/>
                <w:color w:val="333333"/>
                <w:sz w:val="28"/>
                <w:szCs w:val="28"/>
                <w:shd w:val="clear" w:color="auto" w:fill="FFFFFF"/>
              </w:rPr>
              <w:t>未按规定时间报送考试计划的考点不得组织考试。</w:t>
            </w:r>
          </w:p>
        </w:tc>
      </w:tr>
    </w:tbl>
    <w:p>
      <w:pPr>
        <w:pStyle w:val="9"/>
        <w:shd w:val="clear" w:color="auto" w:fill="FFFFFF"/>
        <w:spacing w:after="300" w:afterAutospacing="0"/>
        <w:jc w:val="both"/>
        <w:rPr>
          <w:rFonts w:hint="eastAsia" w:ascii="楷体_GB2312" w:hAnsi="楷体_GB2312" w:eastAsia="楷体_GB2312" w:cs="楷体_GB2312"/>
          <w:color w:val="333333"/>
          <w:sz w:val="30"/>
          <w:szCs w:val="30"/>
          <w:shd w:val="clear" w:color="auto" w:fill="FFFFFF"/>
        </w:rPr>
      </w:pPr>
    </w:p>
    <w:p>
      <w:pPr>
        <w:pStyle w:val="9"/>
        <w:shd w:val="clear" w:color="auto" w:fill="FFFFFF"/>
        <w:spacing w:after="300" w:afterAutospacing="0"/>
        <w:jc w:val="both"/>
        <w:rPr>
          <w:rFonts w:hint="eastAsia" w:ascii="楷体_GB2312" w:hAnsi="楷体_GB2312" w:eastAsia="楷体_GB2312" w:cs="楷体_GB2312"/>
          <w:color w:val="333333"/>
          <w:sz w:val="30"/>
          <w:szCs w:val="30"/>
          <w:shd w:val="clear" w:color="auto" w:fill="FFFFFF"/>
        </w:rPr>
      </w:pPr>
    </w:p>
    <w:p>
      <w:pPr>
        <w:pStyle w:val="9"/>
        <w:shd w:val="clear" w:color="auto" w:fill="FFFFFF"/>
        <w:spacing w:after="300" w:afterAutospacing="0"/>
        <w:jc w:val="both"/>
        <w:rPr>
          <w:rFonts w:ascii="微软雅黑" w:hAnsi="微软雅黑" w:eastAsia="微软雅黑" w:cs="微软雅黑"/>
          <w:color w:val="333333"/>
          <w:sz w:val="21"/>
          <w:szCs w:val="21"/>
          <w:shd w:val="clear" w:color="auto" w:fill="FFFFFF"/>
        </w:rPr>
      </w:pPr>
      <w:r>
        <w:rPr>
          <w:rFonts w:hint="eastAsia" w:ascii="楷体_GB2312" w:hAnsi="楷体_GB2312" w:eastAsia="楷体_GB2312" w:cs="楷体_GB2312"/>
          <w:color w:val="333333"/>
          <w:sz w:val="30"/>
          <w:szCs w:val="30"/>
          <w:shd w:val="clear" w:color="auto" w:fill="FFFFFF"/>
        </w:rPr>
        <w:t>附件3</w:t>
      </w:r>
      <w:r>
        <w:rPr>
          <w:rFonts w:hint="eastAsia" w:ascii="楷体_GB2312" w:hAnsi="楷体_GB2312" w:eastAsia="楷体_GB2312" w:cs="楷体_GB2312"/>
          <w:color w:val="333333"/>
          <w:sz w:val="30"/>
          <w:szCs w:val="30"/>
          <w:shd w:val="clear" w:color="auto" w:fill="FFFFFF"/>
          <w:lang w:eastAsia="zh-CN"/>
        </w:rPr>
        <w:t>：</w:t>
      </w:r>
      <w:r>
        <w:rPr>
          <w:rFonts w:hint="eastAsia" w:ascii="楷体_GB2312" w:hAnsi="楷体_GB2312" w:eastAsia="楷体_GB2312" w:cs="楷体_GB2312"/>
          <w:color w:val="333333"/>
          <w:sz w:val="30"/>
          <w:szCs w:val="30"/>
          <w:shd w:val="clear" w:color="auto" w:fill="FFFFFF"/>
        </w:rPr>
        <w:t xml:space="preserve">   </w:t>
      </w:r>
      <w:r>
        <w:rPr>
          <w:rFonts w:hint="eastAsia" w:ascii="微软雅黑" w:hAnsi="微软雅黑" w:eastAsia="微软雅黑" w:cs="微软雅黑"/>
          <w:color w:val="333333"/>
          <w:sz w:val="21"/>
          <w:szCs w:val="21"/>
          <w:shd w:val="clear" w:color="auto" w:fill="FFFFFF"/>
        </w:rPr>
        <w:t xml:space="preserve">         </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460" w:lineRule="exact"/>
        <w:ind w:firstLine="2160" w:firstLineChars="600"/>
        <w:jc w:val="both"/>
        <w:textAlignment w:val="auto"/>
        <w:rPr>
          <w:rFonts w:ascii="方正小标宋简体" w:hAnsi="方正小标宋简体" w:eastAsia="方正小标宋简体" w:cs="方正小标宋简体"/>
          <w:sz w:val="36"/>
          <w:szCs w:val="36"/>
          <w:lang w:bidi="ar"/>
        </w:rPr>
      </w:pPr>
      <w:r>
        <w:rPr>
          <w:rFonts w:hint="eastAsia" w:ascii="方正小标宋简体" w:hAnsi="方正小标宋简体" w:eastAsia="方正小标宋简体" w:cs="方正小标宋简体"/>
          <w:sz w:val="36"/>
          <w:szCs w:val="36"/>
          <w:lang w:bidi="ar"/>
        </w:rPr>
        <w:t>高级综合应用证书置换规则</w:t>
      </w:r>
    </w:p>
    <w:p>
      <w:pPr>
        <w:pStyle w:val="9"/>
        <w:keepNext w:val="0"/>
        <w:keepLines w:val="0"/>
        <w:pageBreakBefore w:val="0"/>
        <w:widowControl/>
        <w:kinsoku/>
        <w:wordWrap w:val="0"/>
        <w:overflowPunct/>
        <w:topLinePunct w:val="0"/>
        <w:autoSpaceDE/>
        <w:autoSpaceDN/>
        <w:bidi w:val="0"/>
        <w:adjustRightInd/>
        <w:snapToGrid/>
        <w:spacing w:before="0" w:beforeAutospacing="0" w:after="0" w:afterAutospacing="0" w:line="460" w:lineRule="exact"/>
        <w:textAlignment w:val="auto"/>
        <w:rPr>
          <w:rFonts w:hint="eastAsia" w:ascii="方正楷体简体" w:hAnsi="方正楷体简体" w:eastAsia="方正楷体简体" w:cs="方正楷体简体"/>
          <w:color w:val="333333"/>
          <w:sz w:val="21"/>
          <w:szCs w:val="21"/>
          <w:shd w:val="clear" w:color="auto" w:fill="FFFFFF"/>
        </w:rPr>
      </w:pPr>
    </w:p>
    <w:p>
      <w:pPr>
        <w:pStyle w:val="9"/>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仿宋_GB2312" w:hAnsi="仿宋_GB2312" w:eastAsia="仿宋_GB2312" w:cs="仿宋_GB2312"/>
          <w:color w:val="auto"/>
          <w:sz w:val="30"/>
          <w:szCs w:val="30"/>
          <w:lang w:val="en-US" w:eastAsia="zh-CN" w:bidi="ar"/>
        </w:rPr>
      </w:pPr>
      <w:r>
        <w:rPr>
          <w:rFonts w:hint="eastAsia" w:ascii="仿宋_GB2312" w:hAnsi="仿宋_GB2312" w:eastAsia="仿宋_GB2312" w:cs="仿宋_GB2312"/>
          <w:color w:val="auto"/>
          <w:sz w:val="30"/>
          <w:szCs w:val="30"/>
          <w:lang w:val="en-US" w:eastAsia="zh-CN" w:bidi="ar"/>
        </w:rPr>
        <w:t>考生可根据自身情况，自主选择</w:t>
      </w:r>
      <w:r>
        <w:rPr>
          <w:rFonts w:hint="eastAsia" w:ascii="仿宋_GB2312" w:hAnsi="仿宋_GB2312" w:eastAsia="仿宋_GB2312" w:cs="仿宋_GB2312"/>
          <w:color w:val="auto"/>
          <w:sz w:val="30"/>
          <w:szCs w:val="30"/>
          <w:lang w:bidi="ar"/>
        </w:rPr>
        <w:t>高级办公软件应用</w:t>
      </w:r>
      <w:r>
        <w:rPr>
          <w:rFonts w:hint="eastAsia" w:ascii="仿宋_GB2312" w:hAnsi="仿宋_GB2312" w:eastAsia="仿宋_GB2312" w:cs="仿宋_GB2312"/>
          <w:color w:val="auto"/>
          <w:sz w:val="30"/>
          <w:szCs w:val="30"/>
          <w:lang w:val="en-US" w:eastAsia="zh-CN" w:bidi="ar"/>
        </w:rPr>
        <w:t>类、</w:t>
      </w:r>
      <w:r>
        <w:rPr>
          <w:rFonts w:hint="eastAsia" w:ascii="仿宋_GB2312" w:hAnsi="仿宋_GB2312" w:eastAsia="仿宋_GB2312" w:cs="仿宋_GB2312"/>
          <w:color w:val="auto"/>
          <w:sz w:val="30"/>
          <w:szCs w:val="30"/>
          <w:lang w:bidi="ar"/>
        </w:rPr>
        <w:t>设计软件应用类</w:t>
      </w:r>
      <w:r>
        <w:rPr>
          <w:rFonts w:hint="eastAsia" w:ascii="仿宋_GB2312" w:hAnsi="仿宋_GB2312" w:eastAsia="仿宋_GB2312" w:cs="仿宋_GB2312"/>
          <w:color w:val="auto"/>
          <w:sz w:val="30"/>
          <w:szCs w:val="30"/>
          <w:lang w:val="en-US" w:eastAsia="zh-CN" w:bidi="ar"/>
        </w:rPr>
        <w:t>及专业科目类各个模块的学习和考试。过程性学习和考试合格，可获得相应模块的应用水平考试合格证。</w:t>
      </w:r>
    </w:p>
    <w:p>
      <w:pPr>
        <w:pStyle w:val="9"/>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50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val="en-US" w:eastAsia="zh-CN" w:bidi="ar"/>
        </w:rPr>
        <w:t>置换高级综合应用证书条件</w:t>
      </w:r>
      <w:r>
        <w:rPr>
          <w:rFonts w:hint="eastAsia" w:ascii="方正仿宋_GBK" w:hAnsi="方正仿宋_GBK" w:eastAsia="方正仿宋_GBK" w:cs="方正仿宋_GBK"/>
          <w:color w:val="333333"/>
          <w:sz w:val="28"/>
          <w:szCs w:val="28"/>
          <w:lang w:val="en-US" w:eastAsia="zh-CN"/>
        </w:rPr>
        <w:t>：</w:t>
      </w:r>
      <w:r>
        <w:rPr>
          <w:rFonts w:ascii="仿宋_GB2312" w:hAnsi="仿宋_GB2312" w:eastAsia="仿宋_GB2312" w:cs="仿宋_GB2312"/>
          <w:color w:val="auto"/>
          <w:sz w:val="30"/>
          <w:szCs w:val="30"/>
          <w:lang w:bidi="ar"/>
        </w:rPr>
        <w:t>考生通过报考指定单科必考科目及选考科目并取得合格</w:t>
      </w:r>
      <w:r>
        <w:rPr>
          <w:rFonts w:hint="eastAsia" w:ascii="仿宋_GB2312" w:hAnsi="仿宋_GB2312" w:eastAsia="仿宋_GB2312" w:cs="仿宋_GB2312"/>
          <w:color w:val="auto"/>
          <w:sz w:val="30"/>
          <w:szCs w:val="30"/>
          <w:lang w:bidi="ar"/>
        </w:rPr>
        <w:t>证书后，即可获得相应高级综合应用证书。</w:t>
      </w:r>
    </w:p>
    <w:p>
      <w:pPr>
        <w:pStyle w:val="9"/>
        <w:keepNext w:val="0"/>
        <w:keepLines w:val="0"/>
        <w:pageBreakBefore w:val="0"/>
        <w:widowControl/>
        <w:numPr>
          <w:ilvl w:val="0"/>
          <w:numId w:val="1"/>
        </w:numPr>
        <w:kinsoku/>
        <w:wordWrap w:val="0"/>
        <w:overflowPunct/>
        <w:topLinePunct w:val="0"/>
        <w:autoSpaceDE/>
        <w:autoSpaceDN/>
        <w:bidi w:val="0"/>
        <w:adjustRightInd/>
        <w:snapToGrid/>
        <w:spacing w:before="0" w:beforeAutospacing="0" w:after="0" w:afterAutospacing="0" w:line="500" w:lineRule="exact"/>
        <w:ind w:firstLine="560" w:firstLineChars="200"/>
        <w:textAlignment w:val="auto"/>
        <w:rPr>
          <w:rFonts w:ascii="仿宋_GB2312" w:hAnsi="仿宋_GB2312" w:eastAsia="仿宋_GB2312" w:cs="仿宋_GB2312"/>
          <w:color w:val="auto"/>
          <w:sz w:val="30"/>
          <w:szCs w:val="30"/>
          <w:lang w:bidi="ar"/>
        </w:rPr>
      </w:pPr>
      <w:r>
        <w:rPr>
          <w:rFonts w:hint="eastAsia" w:ascii="方正仿宋_GBK" w:hAnsi="方正仿宋_GBK" w:eastAsia="方正仿宋_GBK" w:cs="方正仿宋_GBK"/>
          <w:color w:val="333333"/>
          <w:sz w:val="28"/>
          <w:szCs w:val="28"/>
          <w:lang w:val="en-US" w:eastAsia="zh-CN"/>
        </w:rPr>
        <w:t>高级综合应用证书目前有四种：</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val="en-US" w:eastAsia="zh-CN" w:bidi="ar"/>
        </w:rPr>
        <w:t>A</w:t>
      </w:r>
      <w:r>
        <w:rPr>
          <w:rFonts w:ascii="仿宋_GB2312" w:hAnsi="仿宋_GB2312" w:eastAsia="仿宋_GB2312" w:cs="仿宋_GB2312"/>
          <w:color w:val="auto"/>
          <w:sz w:val="30"/>
          <w:szCs w:val="30"/>
          <w:lang w:bidi="ar"/>
        </w:rPr>
        <w:t>、高级办公软件应用</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bidi="ar"/>
        </w:rPr>
        <w:t>必考：计算机应用基础（</w:t>
      </w:r>
      <w:r>
        <w:rPr>
          <w:rFonts w:ascii="仿宋_GB2312" w:hAnsi="仿宋_GB2312" w:eastAsia="仿宋_GB2312" w:cs="仿宋_GB2312"/>
          <w:color w:val="auto"/>
          <w:sz w:val="30"/>
          <w:szCs w:val="30"/>
          <w:lang w:bidi="ar"/>
        </w:rPr>
        <w:t>windows7，office 201</w:t>
      </w:r>
      <w:r>
        <w:rPr>
          <w:rFonts w:hint="eastAsia" w:ascii="仿宋_GB2312" w:hAnsi="仿宋_GB2312" w:eastAsia="仿宋_GB2312" w:cs="仿宋_GB2312"/>
          <w:color w:val="auto"/>
          <w:sz w:val="30"/>
          <w:szCs w:val="30"/>
          <w:lang w:bidi="ar"/>
        </w:rPr>
        <w:t>0。2021年11月考试启用</w:t>
      </w:r>
      <w:r>
        <w:rPr>
          <w:rFonts w:ascii="仿宋_GB2312" w:hAnsi="仿宋_GB2312" w:eastAsia="仿宋_GB2312" w:cs="仿宋_GB2312"/>
          <w:color w:val="auto"/>
          <w:sz w:val="30"/>
          <w:szCs w:val="30"/>
          <w:lang w:bidi="ar"/>
        </w:rPr>
        <w:t>office 201</w:t>
      </w:r>
      <w:r>
        <w:rPr>
          <w:rFonts w:hint="eastAsia" w:ascii="仿宋_GB2312" w:hAnsi="仿宋_GB2312" w:eastAsia="仿宋_GB2312" w:cs="仿宋_GB2312"/>
          <w:color w:val="auto"/>
          <w:sz w:val="30"/>
          <w:szCs w:val="30"/>
          <w:lang w:bidi="ar"/>
        </w:rPr>
        <w:t>6</w:t>
      </w:r>
      <w:r>
        <w:rPr>
          <w:rFonts w:ascii="仿宋_GB2312" w:hAnsi="仿宋_GB2312" w:eastAsia="仿宋_GB2312" w:cs="仿宋_GB2312"/>
          <w:color w:val="auto"/>
          <w:sz w:val="30"/>
          <w:szCs w:val="30"/>
          <w:lang w:bidi="ar"/>
        </w:rPr>
        <w:t>）；</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bidi="ar"/>
        </w:rPr>
        <w:t>选考</w:t>
      </w:r>
      <w:r>
        <w:rPr>
          <w:rFonts w:hint="eastAsia" w:ascii="仿宋_GB2312" w:hAnsi="仿宋_GB2312" w:eastAsia="仿宋_GB2312" w:cs="仿宋_GB2312"/>
          <w:color w:val="auto"/>
          <w:sz w:val="30"/>
          <w:szCs w:val="30"/>
          <w:lang w:val="en-US" w:eastAsia="zh-CN" w:bidi="ar"/>
        </w:rPr>
        <w:t>:3个模块中选考2个模块</w:t>
      </w:r>
      <w:r>
        <w:rPr>
          <w:rFonts w:ascii="仿宋_GB2312" w:hAnsi="仿宋_GB2312" w:eastAsia="仿宋_GB2312" w:cs="仿宋_GB2312"/>
          <w:color w:val="auto"/>
          <w:sz w:val="30"/>
          <w:szCs w:val="30"/>
          <w:lang w:bidi="ar"/>
        </w:rPr>
        <w:t>：文字处理（word）；电子表格（excel）；演示文稿（ppt）</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val="en-US" w:eastAsia="zh-CN" w:bidi="ar"/>
        </w:rPr>
        <w:t>B</w:t>
      </w:r>
      <w:r>
        <w:rPr>
          <w:rFonts w:ascii="仿宋_GB2312" w:hAnsi="仿宋_GB2312" w:eastAsia="仿宋_GB2312" w:cs="仿宋_GB2312"/>
          <w:color w:val="auto"/>
          <w:sz w:val="30"/>
          <w:szCs w:val="30"/>
          <w:lang w:bidi="ar"/>
        </w:rPr>
        <w:t>、高级WEB前端设计</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bidi="ar"/>
        </w:rPr>
        <w:t>必考：网页制作（</w:t>
      </w:r>
      <w:r>
        <w:rPr>
          <w:rFonts w:ascii="仿宋_GB2312" w:hAnsi="仿宋_GB2312" w:eastAsia="仿宋_GB2312" w:cs="仿宋_GB2312"/>
          <w:color w:val="auto"/>
          <w:sz w:val="30"/>
          <w:szCs w:val="30"/>
          <w:lang w:bidi="ar"/>
        </w:rPr>
        <w:t>Dreamweaver MX）；图像处理（photoshop CS3）</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val="en-US" w:eastAsia="zh-CN" w:bidi="ar"/>
        </w:rPr>
        <w:t>C</w:t>
      </w:r>
      <w:r>
        <w:rPr>
          <w:rFonts w:ascii="仿宋_GB2312" w:hAnsi="仿宋_GB2312" w:eastAsia="仿宋_GB2312" w:cs="仿宋_GB2312"/>
          <w:color w:val="auto"/>
          <w:sz w:val="30"/>
          <w:szCs w:val="30"/>
          <w:lang w:bidi="ar"/>
        </w:rPr>
        <w:t>、会计信息管理（初级）</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bidi="ar"/>
        </w:rPr>
        <w:t>必考：财税知识基础应用；会计电算化初级（</w:t>
      </w:r>
      <w:r>
        <w:rPr>
          <w:rFonts w:ascii="仿宋_GB2312" w:hAnsi="仿宋_GB2312" w:eastAsia="仿宋_GB2312" w:cs="仿宋_GB2312"/>
          <w:color w:val="auto"/>
          <w:sz w:val="30"/>
          <w:szCs w:val="30"/>
          <w:lang w:bidi="ar"/>
        </w:rPr>
        <w:t>excel 2010）</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val="en-US" w:eastAsia="zh-CN" w:bidi="ar"/>
        </w:rPr>
        <w:t>D</w:t>
      </w:r>
      <w:r>
        <w:rPr>
          <w:rFonts w:ascii="仿宋_GB2312" w:hAnsi="仿宋_GB2312" w:eastAsia="仿宋_GB2312" w:cs="仿宋_GB2312"/>
          <w:color w:val="auto"/>
          <w:sz w:val="30"/>
          <w:szCs w:val="30"/>
          <w:lang w:bidi="ar"/>
        </w:rPr>
        <w:t>、会计信息管理（中级）</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jc w:val="both"/>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bidi="ar"/>
        </w:rPr>
        <w:t>必考：财税知识综合应用；会计电算化中级（</w:t>
      </w:r>
      <w:r>
        <w:rPr>
          <w:rFonts w:ascii="仿宋_GB2312" w:hAnsi="仿宋_GB2312" w:eastAsia="仿宋_GB2312" w:cs="仿宋_GB2312"/>
          <w:color w:val="auto"/>
          <w:sz w:val="30"/>
          <w:szCs w:val="30"/>
          <w:lang w:bidi="ar"/>
        </w:rPr>
        <w:t>excel 2010）</w:t>
      </w:r>
      <w:r>
        <w:rPr>
          <w:rFonts w:ascii="Calibri" w:hAnsi="Calibri" w:eastAsia="仿宋_GB2312" w:cs="Calibri"/>
          <w:color w:val="auto"/>
          <w:sz w:val="30"/>
          <w:szCs w:val="30"/>
          <w:lang w:bidi="ar"/>
        </w:rPr>
        <w:t> </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ind w:firstLine="600" w:firstLineChars="200"/>
        <w:textAlignment w:val="auto"/>
        <w:rPr>
          <w:rFonts w:ascii="仿宋_GB2312" w:hAnsi="仿宋_GB2312" w:eastAsia="仿宋_GB2312" w:cs="仿宋_GB2312"/>
          <w:color w:val="auto"/>
          <w:sz w:val="30"/>
          <w:szCs w:val="30"/>
          <w:lang w:bidi="ar"/>
        </w:rPr>
      </w:pPr>
      <w:r>
        <w:rPr>
          <w:rFonts w:hint="eastAsia" w:ascii="仿宋_GB2312" w:hAnsi="仿宋_GB2312" w:eastAsia="仿宋_GB2312" w:cs="仿宋_GB2312"/>
          <w:color w:val="auto"/>
          <w:sz w:val="30"/>
          <w:szCs w:val="30"/>
          <w:lang w:val="en-US" w:eastAsia="zh-CN" w:bidi="ar"/>
        </w:rPr>
        <w:t>4</w:t>
      </w:r>
      <w:r>
        <w:rPr>
          <w:rFonts w:ascii="仿宋_GB2312" w:hAnsi="仿宋_GB2312" w:eastAsia="仿宋_GB2312" w:cs="仿宋_GB2312"/>
          <w:color w:val="auto"/>
          <w:sz w:val="30"/>
          <w:szCs w:val="30"/>
          <w:lang w:bidi="ar"/>
        </w:rPr>
        <w:t>. 申领方式：符合置换相应的高级综合应用证书条件后，经考试合格、数</w:t>
      </w:r>
      <w:r>
        <w:rPr>
          <w:rFonts w:hint="eastAsia" w:ascii="仿宋_GB2312" w:hAnsi="仿宋_GB2312" w:eastAsia="仿宋_GB2312" w:cs="仿宋_GB2312"/>
          <w:color w:val="auto"/>
          <w:sz w:val="30"/>
          <w:szCs w:val="30"/>
          <w:lang w:bidi="ar"/>
        </w:rPr>
        <w:t>据校验后自动申领高级证书，并在取得最后单科合格证书后，同时下发高级综合应用证书。</w:t>
      </w:r>
    </w:p>
    <w:p>
      <w:pPr>
        <w:pStyle w:val="9"/>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00" w:lineRule="exact"/>
        <w:ind w:firstLine="600" w:firstLineChars="200"/>
        <w:textAlignment w:val="auto"/>
        <w:rPr>
          <w:rFonts w:hint="eastAsia" w:asciiTheme="minorEastAsia" w:hAnsiTheme="minorEastAsia" w:eastAsiaTheme="minorEastAsia" w:cstheme="minorEastAsia"/>
          <w:sz w:val="32"/>
          <w:szCs w:val="32"/>
          <w:lang w:val="en-US" w:eastAsia="zh-CN" w:bidi="ar"/>
        </w:rPr>
      </w:pPr>
      <w:r>
        <w:rPr>
          <w:rFonts w:hint="eastAsia" w:ascii="仿宋_GB2312" w:hAnsi="仿宋_GB2312" w:eastAsia="仿宋_GB2312" w:cs="仿宋_GB2312"/>
          <w:color w:val="auto"/>
          <w:sz w:val="30"/>
          <w:szCs w:val="30"/>
          <w:lang w:val="en-US" w:eastAsia="zh-CN" w:bidi="ar"/>
        </w:rPr>
        <w:t>5</w:t>
      </w:r>
      <w:r>
        <w:rPr>
          <w:rFonts w:ascii="仿宋_GB2312" w:hAnsi="仿宋_GB2312" w:eastAsia="仿宋_GB2312" w:cs="仿宋_GB2312"/>
          <w:color w:val="auto"/>
          <w:sz w:val="30"/>
          <w:szCs w:val="30"/>
          <w:lang w:bidi="ar"/>
        </w:rPr>
        <w:t>. 申领期限：高级综合应用证书申领期限为 3 年，即 3 年内完成考取所有</w:t>
      </w:r>
      <w:r>
        <w:rPr>
          <w:rFonts w:hint="eastAsia" w:ascii="仿宋_GB2312" w:hAnsi="仿宋_GB2312" w:eastAsia="仿宋_GB2312" w:cs="仿宋_GB2312"/>
          <w:color w:val="auto"/>
          <w:sz w:val="30"/>
          <w:szCs w:val="30"/>
          <w:lang w:bidi="ar"/>
        </w:rPr>
        <w:t>相应单科证书。高级综合应用证书不收取费用，符合条件即可获得。</w:t>
      </w:r>
      <w:r>
        <w:rPr>
          <w:rFonts w:ascii="仿宋_GB2312" w:hAnsi="仿宋_GB2312" w:eastAsia="仿宋_GB2312" w:cs="仿宋_GB2312"/>
          <w:color w:val="auto"/>
          <w:sz w:val="30"/>
          <w:szCs w:val="30"/>
          <w:lang w:bidi="ar"/>
        </w:rPr>
        <w:t xml:space="preserve"> </w:t>
      </w:r>
    </w:p>
    <w:p>
      <w:pPr>
        <w:pStyle w:val="9"/>
        <w:shd w:val="clear" w:color="auto" w:fill="FFFFFF"/>
        <w:spacing w:after="300" w:afterAutospacing="0"/>
        <w:jc w:val="both"/>
        <w:rPr>
          <w:rFonts w:hint="eastAsia" w:ascii="楷体_GB2312" w:hAnsi="楷体_GB2312" w:eastAsia="楷体_GB2312" w:cs="楷体_GB2312"/>
          <w:color w:val="333333"/>
          <w:sz w:val="30"/>
          <w:szCs w:val="30"/>
          <w:shd w:val="clear" w:color="auto" w:fill="FFFFFF"/>
          <w:lang w:val="en-US" w:eastAsia="zh-CN"/>
        </w:rPr>
      </w:pPr>
    </w:p>
    <w:p>
      <w:pPr>
        <w:pStyle w:val="9"/>
        <w:shd w:val="clear" w:color="auto" w:fill="FFFFFF"/>
        <w:spacing w:after="300" w:afterAutospacing="0"/>
        <w:jc w:val="both"/>
        <w:rPr>
          <w:rFonts w:hint="default" w:ascii="楷体_GB2312" w:hAnsi="楷体_GB2312" w:eastAsia="楷体_GB2312" w:cs="楷体_GB2312"/>
          <w:color w:val="333333"/>
          <w:sz w:val="30"/>
          <w:szCs w:val="30"/>
          <w:shd w:val="clear" w:color="auto" w:fill="FFFFFF"/>
          <w:lang w:val="en-US" w:eastAsia="zh-CN"/>
        </w:rPr>
      </w:pPr>
      <w:r>
        <w:rPr>
          <w:rFonts w:hint="eastAsia" w:ascii="楷体_GB2312" w:hAnsi="楷体_GB2312" w:eastAsia="楷体_GB2312" w:cs="楷体_GB2312"/>
          <w:color w:val="333333"/>
          <w:sz w:val="30"/>
          <w:szCs w:val="30"/>
          <w:shd w:val="clear" w:color="auto" w:fill="FFFFFF"/>
          <w:lang w:val="en-US" w:eastAsia="zh-CN"/>
        </w:rPr>
        <w:t>附件4：</w:t>
      </w:r>
    </w:p>
    <w:p>
      <w:pPr>
        <w:spacing w:before="30" w:line="290" w:lineRule="auto"/>
        <w:ind w:left="2102" w:right="616" w:hanging="1808"/>
        <w:jc w:val="center"/>
        <w:rPr>
          <w:rFonts w:hint="eastAsia" w:ascii="黑体" w:eastAsia="黑体"/>
          <w:b/>
          <w:sz w:val="36"/>
        </w:rPr>
      </w:pPr>
      <w:r>
        <w:rPr>
          <w:rFonts w:hint="eastAsia" w:ascii="黑体" w:eastAsia="黑体"/>
          <w:b/>
          <w:sz w:val="36"/>
        </w:rPr>
        <w:t>新冠肺炎疫情防控常态化下</w:t>
      </w:r>
    </w:p>
    <w:p>
      <w:pPr>
        <w:spacing w:before="30" w:line="290" w:lineRule="auto"/>
        <w:ind w:left="2102" w:right="616" w:hanging="1808"/>
        <w:jc w:val="center"/>
        <w:rPr>
          <w:rFonts w:hint="eastAsia" w:ascii="黑体" w:eastAsia="黑体"/>
          <w:b/>
          <w:sz w:val="36"/>
        </w:rPr>
      </w:pPr>
      <w:r>
        <w:rPr>
          <w:rFonts w:hint="eastAsia" w:ascii="黑体" w:eastAsia="黑体"/>
          <w:b/>
          <w:sz w:val="36"/>
        </w:rPr>
        <w:t>全国计算机应用水平考试组考防疫工作的指导意见</w:t>
      </w:r>
    </w:p>
    <w:p>
      <w:pPr>
        <w:pStyle w:val="4"/>
        <w:spacing w:before="2"/>
        <w:ind w:left="0"/>
        <w:jc w:val="center"/>
        <w:rPr>
          <w:rFonts w:ascii="黑体"/>
          <w:b/>
          <w:sz w:val="47"/>
        </w:rPr>
      </w:pPr>
    </w:p>
    <w:p>
      <w:pPr>
        <w:pStyle w:val="4"/>
        <w:spacing w:line="328" w:lineRule="auto"/>
        <w:ind w:right="436" w:firstLine="643"/>
        <w:jc w:val="both"/>
      </w:pPr>
      <w:r>
        <w:rPr>
          <w:spacing w:val="-5"/>
        </w:rPr>
        <w:t>为贯彻落实《国务院应对新型冠状病毒感染肺炎疫情联</w:t>
      </w:r>
      <w:r>
        <w:rPr>
          <w:spacing w:val="10"/>
          <w:w w:val="95"/>
        </w:rPr>
        <w:t xml:space="preserve">防联控机制关于做好新冠肺炎疫情常态化防控工作的指导 </w:t>
      </w:r>
      <w:r>
        <w:rPr>
          <w:spacing w:val="-5"/>
        </w:rPr>
        <w:t>意见》</w:t>
      </w:r>
      <w:r>
        <w:t>（</w:t>
      </w:r>
      <w:r>
        <w:rPr>
          <w:spacing w:val="-4"/>
        </w:rPr>
        <w:t>国发明电〔</w:t>
      </w:r>
      <w:r>
        <w:rPr>
          <w:rFonts w:ascii="Times New Roman" w:eastAsia="Times New Roman"/>
        </w:rPr>
        <w:t>2020</w:t>
      </w:r>
      <w:r>
        <w:rPr>
          <w:spacing w:val="-17"/>
        </w:rPr>
        <w:t>〕</w:t>
      </w:r>
      <w:r>
        <w:rPr>
          <w:rFonts w:ascii="Times New Roman" w:eastAsia="Times New Roman"/>
        </w:rPr>
        <w:t>14</w:t>
      </w:r>
      <w:r>
        <w:rPr>
          <w:rFonts w:ascii="Times New Roman" w:eastAsia="Times New Roman"/>
          <w:spacing w:val="-6"/>
        </w:rPr>
        <w:t xml:space="preserve"> </w:t>
      </w:r>
      <w:r>
        <w:t>号</w:t>
      </w:r>
      <w:r>
        <w:rPr>
          <w:spacing w:val="-15"/>
        </w:rPr>
        <w:t>）</w:t>
      </w:r>
      <w:r>
        <w:rPr>
          <w:spacing w:val="-4"/>
        </w:rPr>
        <w:t>精神，保障广大考生和考</w:t>
      </w:r>
      <w:r>
        <w:rPr>
          <w:spacing w:val="-6"/>
        </w:rPr>
        <w:t>试工作人员的生命安全和身体健康，保障全国计算机应用水</w:t>
      </w:r>
      <w:r>
        <w:t>平考试（</w:t>
      </w:r>
      <w:r>
        <w:rPr>
          <w:spacing w:val="-14"/>
        </w:rPr>
        <w:t xml:space="preserve">以下简称 </w:t>
      </w:r>
      <w:r>
        <w:rPr>
          <w:rFonts w:ascii="Times New Roman" w:eastAsia="Times New Roman"/>
        </w:rPr>
        <w:t>NIT</w:t>
      </w:r>
      <w:r>
        <w:t>）</w:t>
      </w:r>
      <w:r>
        <w:rPr>
          <w:spacing w:val="-1"/>
        </w:rPr>
        <w:t>安全有序组织，现对做好常态化疫</w:t>
      </w:r>
      <w:r>
        <w:rPr>
          <w:spacing w:val="19"/>
        </w:rPr>
        <w:t>情防控下</w:t>
      </w:r>
      <w:r>
        <w:t>NIT</w:t>
      </w:r>
      <w:r>
        <w:rPr>
          <w:spacing w:val="-10"/>
        </w:rPr>
        <w:t xml:space="preserve"> 组考防疫工作提出以下意见。</w:t>
      </w:r>
    </w:p>
    <w:p>
      <w:pPr>
        <w:pStyle w:val="4"/>
        <w:spacing w:line="400" w:lineRule="exact"/>
        <w:ind w:left="761"/>
        <w:rPr>
          <w:rFonts w:hint="eastAsia" w:ascii="黑体" w:eastAsia="黑体"/>
        </w:rPr>
      </w:pPr>
      <w:r>
        <w:rPr>
          <w:rFonts w:hint="eastAsia" w:ascii="黑体" w:eastAsia="黑体"/>
          <w:w w:val="95"/>
        </w:rPr>
        <w:t>一、加强组织领导</w:t>
      </w:r>
    </w:p>
    <w:p>
      <w:pPr>
        <w:pStyle w:val="4"/>
        <w:spacing w:before="149" w:line="328" w:lineRule="auto"/>
        <w:ind w:right="436" w:firstLine="640"/>
        <w:jc w:val="both"/>
      </w:pPr>
      <w:r>
        <w:rPr>
          <w:spacing w:val="13"/>
          <w:w w:val="95"/>
        </w:rPr>
        <w:t xml:space="preserve">省级承办机构和考点要在属地疫情防控指挥部的统一 </w:t>
      </w:r>
      <w:r>
        <w:rPr>
          <w:spacing w:val="-3"/>
        </w:rPr>
        <w:t>领导下，认真落实属地防控责任、考点主体责任，增强卫生</w:t>
      </w:r>
      <w:r>
        <w:rPr>
          <w:spacing w:val="-4"/>
        </w:rPr>
        <w:t>健康、疾控等方面应急处置力量，做好考试组织、疫情防控</w:t>
      </w:r>
      <w:r>
        <w:t>及突发事件处置工作。</w:t>
      </w:r>
    </w:p>
    <w:p>
      <w:pPr>
        <w:pStyle w:val="4"/>
        <w:spacing w:line="405" w:lineRule="exact"/>
        <w:ind w:left="761"/>
        <w:rPr>
          <w:rFonts w:hint="eastAsia" w:ascii="黑体" w:eastAsia="黑体"/>
        </w:rPr>
      </w:pPr>
      <w:r>
        <w:rPr>
          <w:rFonts w:hint="eastAsia" w:ascii="黑体" w:eastAsia="黑体"/>
          <w:w w:val="95"/>
        </w:rPr>
        <w:t>二、健全工作制度</w:t>
      </w:r>
    </w:p>
    <w:p>
      <w:pPr>
        <w:spacing w:before="149" w:line="328" w:lineRule="auto"/>
        <w:ind w:left="120" w:right="436" w:firstLine="643"/>
        <w:jc w:val="both"/>
        <w:rPr>
          <w:sz w:val="32"/>
        </w:rPr>
      </w:pPr>
      <w:r>
        <w:rPr>
          <w:b/>
          <w:spacing w:val="-3"/>
          <w:sz w:val="32"/>
        </w:rPr>
        <w:t>制定组考防疫工作方案和预案。</w:t>
      </w:r>
      <w:r>
        <w:rPr>
          <w:spacing w:val="-2"/>
          <w:sz w:val="32"/>
        </w:rPr>
        <w:t>省级承办机构要依据本</w:t>
      </w:r>
      <w:r>
        <w:rPr>
          <w:spacing w:val="-3"/>
          <w:sz w:val="32"/>
        </w:rPr>
        <w:t>省疫情防控相关规定，制定、细化考点组考防疫工作方案和</w:t>
      </w:r>
      <w:r>
        <w:rPr>
          <w:sz w:val="32"/>
        </w:rPr>
        <w:t>预案。</w:t>
      </w:r>
    </w:p>
    <w:p>
      <w:pPr>
        <w:pStyle w:val="4"/>
        <w:spacing w:line="328" w:lineRule="auto"/>
        <w:ind w:right="436" w:firstLine="643"/>
        <w:jc w:val="both"/>
      </w:pPr>
      <w:r>
        <w:rPr>
          <w:b/>
          <w:spacing w:val="-2"/>
        </w:rPr>
        <w:t>完善支撑保障制度。</w:t>
      </w:r>
      <w:r>
        <w:rPr>
          <w:spacing w:val="-3"/>
        </w:rPr>
        <w:t>省级承办机构要积极协调考点，研</w:t>
      </w:r>
      <w:r>
        <w:rPr>
          <w:spacing w:val="-2"/>
        </w:rPr>
        <w:t>究制定考试工作人员和专项资金保障政策，确保组考工作中</w:t>
      </w:r>
      <w:r>
        <w:rPr>
          <w:spacing w:val="-4"/>
        </w:rPr>
        <w:t>所需的考试工作人员、组考防疫经费、必需的设施设备、物</w:t>
      </w:r>
      <w:r>
        <w:t>资物品等充足到位。</w:t>
      </w:r>
    </w:p>
    <w:p>
      <w:pPr>
        <w:spacing w:before="0" w:line="328" w:lineRule="auto"/>
        <w:ind w:left="120" w:right="436" w:firstLine="643"/>
        <w:jc w:val="both"/>
        <w:rPr>
          <w:rFonts w:ascii="仿宋" w:hAnsi="仿宋" w:eastAsia="仿宋" w:cs="仿宋"/>
          <w:spacing w:val="-1"/>
          <w:kern w:val="2"/>
          <w:sz w:val="32"/>
          <w:szCs w:val="32"/>
          <w:lang w:val="en-US" w:eastAsia="zh-CN" w:bidi="ar-SA"/>
        </w:rPr>
      </w:pPr>
      <w:r>
        <w:rPr>
          <w:b/>
          <w:spacing w:val="-1"/>
          <w:sz w:val="32"/>
        </w:rPr>
        <w:t>完善考点防疫工作职责。</w:t>
      </w:r>
      <w:r>
        <w:rPr>
          <w:rFonts w:ascii="仿宋" w:hAnsi="仿宋" w:eastAsia="仿宋" w:cs="仿宋"/>
          <w:spacing w:val="-1"/>
          <w:kern w:val="2"/>
          <w:sz w:val="32"/>
          <w:szCs w:val="32"/>
          <w:lang w:val="en-US" w:eastAsia="zh-CN" w:bidi="ar-SA"/>
        </w:rPr>
        <w:t>考点主考、副主考、考务管理员、监考员等增加防疫工作职责；考点增设一名副主考（原</w:t>
      </w:r>
    </w:p>
    <w:p>
      <w:pPr>
        <w:pStyle w:val="4"/>
        <w:spacing w:before="30" w:line="328" w:lineRule="auto"/>
        <w:ind w:left="0" w:leftChars="0" w:right="433" w:firstLine="0" w:firstLineChars="0"/>
        <w:jc w:val="both"/>
      </w:pPr>
      <w:r>
        <w:rPr>
          <w:rFonts w:ascii="仿宋" w:hAnsi="仿宋" w:eastAsia="仿宋" w:cs="仿宋"/>
          <w:spacing w:val="-1"/>
          <w:kern w:val="2"/>
          <w:sz w:val="32"/>
          <w:szCs w:val="32"/>
          <w:lang w:val="en-US" w:eastAsia="zh-CN" w:bidi="ar-SA"/>
        </w:rPr>
        <w:t>则上由考点分管防疫工作</w:t>
      </w:r>
      <w:r>
        <w:rPr>
          <w:spacing w:val="10"/>
          <w:w w:val="95"/>
        </w:rPr>
        <w:t xml:space="preserve">负责人或校内医疗机构负责人担 </w:t>
      </w:r>
      <w:r>
        <w:rPr>
          <w:spacing w:val="10"/>
        </w:rPr>
        <w:t>任</w:t>
      </w:r>
      <w:r>
        <w:rPr>
          <w:spacing w:val="-8"/>
        </w:rPr>
        <w:t>）</w:t>
      </w:r>
      <w:r>
        <w:rPr>
          <w:spacing w:val="-1"/>
        </w:rPr>
        <w:t>并设立由该副主考领导的防疫工作小组，专职负责涉疫</w:t>
      </w:r>
      <w:r>
        <w:rPr>
          <w:spacing w:val="-3"/>
        </w:rPr>
        <w:t>常规工作和突发事件处置；完善考点内、考场内防疫工作流程和处置流程。</w:t>
      </w:r>
    </w:p>
    <w:p>
      <w:pPr>
        <w:pStyle w:val="4"/>
        <w:spacing w:line="402" w:lineRule="exact"/>
        <w:ind w:left="761"/>
        <w:rPr>
          <w:rFonts w:hint="eastAsia" w:ascii="黑体" w:eastAsia="黑体"/>
        </w:rPr>
      </w:pPr>
      <w:r>
        <w:rPr>
          <w:rFonts w:hint="eastAsia" w:ascii="黑体" w:eastAsia="黑体"/>
        </w:rPr>
        <w:t>三、落实组考环节防疫措施</w:t>
      </w:r>
    </w:p>
    <w:p>
      <w:pPr>
        <w:pStyle w:val="2"/>
        <w:numPr>
          <w:ilvl w:val="0"/>
          <w:numId w:val="2"/>
        </w:numPr>
        <w:tabs>
          <w:tab w:val="left" w:pos="1006"/>
        </w:tabs>
        <w:spacing w:before="152" w:after="0" w:line="240" w:lineRule="auto"/>
        <w:ind w:left="1005" w:right="0" w:hanging="242"/>
        <w:jc w:val="left"/>
      </w:pPr>
      <w:r>
        <w:t>运送、保管、整理、分发考试材料</w:t>
      </w:r>
    </w:p>
    <w:p>
      <w:pPr>
        <w:pStyle w:val="4"/>
        <w:spacing w:before="150"/>
        <w:ind w:left="761"/>
      </w:pPr>
      <w:r>
        <w:rPr>
          <w:spacing w:val="-2"/>
        </w:rPr>
        <w:t xml:space="preserve">提前 </w:t>
      </w:r>
      <w:r>
        <w:rPr>
          <w:rFonts w:ascii="Times New Roman" w:eastAsia="Times New Roman"/>
        </w:rPr>
        <w:t>14</w:t>
      </w:r>
      <w:r>
        <w:rPr>
          <w:rFonts w:ascii="Times New Roman" w:eastAsia="Times New Roman"/>
          <w:spacing w:val="70"/>
        </w:rPr>
        <w:t xml:space="preserve"> </w:t>
      </w:r>
      <w:r>
        <w:t>天对所有参与人员进行日常体温测量和身体健</w:t>
      </w:r>
    </w:p>
    <w:p>
      <w:pPr>
        <w:pStyle w:val="4"/>
        <w:spacing w:before="149" w:line="328" w:lineRule="auto"/>
        <w:ind w:right="438"/>
        <w:jc w:val="both"/>
      </w:pPr>
      <w:r>
        <w:rPr>
          <w:spacing w:val="-7"/>
        </w:rPr>
        <w:t xml:space="preserve">康状况监测，身体异常的要及时诊疗，参与相关工作前 </w:t>
      </w:r>
      <w:r>
        <w:rPr>
          <w:rFonts w:ascii="Times New Roman" w:eastAsia="Times New Roman"/>
        </w:rPr>
        <w:t xml:space="preserve">3 </w:t>
      </w:r>
      <w:r>
        <w:rPr>
          <w:spacing w:val="-14"/>
        </w:rPr>
        <w:t>天</w:t>
      </w:r>
      <w:r>
        <w:t>内有发热症状的不得参加。</w:t>
      </w:r>
    </w:p>
    <w:p>
      <w:pPr>
        <w:pStyle w:val="4"/>
        <w:spacing w:line="383" w:lineRule="exact"/>
        <w:ind w:left="761"/>
      </w:pPr>
      <w:r>
        <w:t>对考试材料运送车辆及保管场所进行彻底消毒，保密室</w:t>
      </w:r>
    </w:p>
    <w:p>
      <w:pPr>
        <w:pStyle w:val="4"/>
        <w:spacing w:before="214" w:line="364" w:lineRule="auto"/>
        <w:ind w:right="436"/>
        <w:jc w:val="both"/>
      </w:pPr>
      <w:r>
        <w:rPr>
          <w:spacing w:val="-3"/>
        </w:rPr>
        <w:t>存放考试材料前开窗通风，没有窗户的保密室可采用风扇等</w:t>
      </w:r>
      <w:r>
        <w:t>设备加强机械通风。</w:t>
      </w:r>
    </w:p>
    <w:p>
      <w:pPr>
        <w:pStyle w:val="4"/>
        <w:spacing w:before="26" w:line="328" w:lineRule="auto"/>
        <w:ind w:right="441" w:firstLine="640"/>
        <w:jc w:val="both"/>
      </w:pPr>
      <w:r>
        <w:rPr>
          <w:spacing w:val="12"/>
          <w:w w:val="95"/>
        </w:rPr>
        <w:t xml:space="preserve">较远地区到省级考试机构领取材料过程中需要在外住 </w:t>
      </w:r>
      <w:r>
        <w:rPr>
          <w:spacing w:val="-4"/>
        </w:rPr>
        <w:t>宿和餐饮的，要选择卫生条件达标的宾馆和饭店，采用分餐制用餐。考试材料进入各地保密室后，值守安保人员每天仍</w:t>
      </w:r>
      <w:r>
        <w:t>须监测健康状况、做好记录并上报上级机构。</w:t>
      </w:r>
    </w:p>
    <w:p>
      <w:pPr>
        <w:pStyle w:val="2"/>
        <w:numPr>
          <w:ilvl w:val="0"/>
          <w:numId w:val="2"/>
        </w:numPr>
        <w:tabs>
          <w:tab w:val="left" w:pos="1006"/>
        </w:tabs>
        <w:spacing w:before="0" w:after="0" w:line="402" w:lineRule="exact"/>
        <w:ind w:left="1005" w:right="0" w:hanging="242"/>
        <w:jc w:val="left"/>
      </w:pPr>
      <w:r>
        <w:t>考前准备</w:t>
      </w:r>
    </w:p>
    <w:p>
      <w:pPr>
        <w:pStyle w:val="4"/>
        <w:spacing w:before="152" w:line="328" w:lineRule="auto"/>
        <w:ind w:right="436" w:firstLine="643"/>
        <w:jc w:val="both"/>
      </w:pPr>
      <w:r>
        <w:rPr>
          <w:b/>
          <w:spacing w:val="-3"/>
        </w:rPr>
        <w:t>对所有考生进行健康状况监测。</w:t>
      </w:r>
      <w:r>
        <w:rPr>
          <w:spacing w:val="-2"/>
        </w:rPr>
        <w:t>所有参加考试的考生应</w:t>
      </w:r>
      <w:r>
        <w:rPr>
          <w:spacing w:val="-21"/>
        </w:rPr>
        <w:t xml:space="preserve">在考前 </w:t>
      </w:r>
      <w:r>
        <w:rPr>
          <w:rFonts w:ascii="Times New Roman" w:hAnsi="Times New Roman" w:eastAsia="Times New Roman"/>
        </w:rPr>
        <w:t xml:space="preserve">14 </w:t>
      </w:r>
      <w:r>
        <w:rPr>
          <w:spacing w:val="-15"/>
        </w:rPr>
        <w:t>天起，自行每日体温测量，填写“体温自我监测登记表</w:t>
      </w:r>
      <w:r>
        <w:rPr>
          <w:rFonts w:ascii="Times New Roman" w:hAnsi="Times New Roman" w:eastAsia="Times New Roman"/>
          <w:spacing w:val="-27"/>
        </w:rPr>
        <w:t>”</w:t>
      </w:r>
      <w:r>
        <w:rPr>
          <w:spacing w:val="-27"/>
        </w:rPr>
        <w:t>（</w:t>
      </w:r>
      <w:r>
        <w:t>每位考生每科目一张</w:t>
      </w:r>
      <w:r>
        <w:rPr>
          <w:spacing w:val="-52"/>
        </w:rPr>
        <w:t>）</w:t>
      </w:r>
      <w:r>
        <w:rPr>
          <w:spacing w:val="-9"/>
        </w:rPr>
        <w:t>，出现身体异常情况的要及时</w:t>
      </w:r>
      <w:r>
        <w:rPr>
          <w:spacing w:val="-7"/>
        </w:rPr>
        <w:t xml:space="preserve">就医并报告。登记表在考试当天入场检查时上交并保留 </w:t>
      </w:r>
      <w:r>
        <w:rPr>
          <w:rFonts w:ascii="Times New Roman" w:hAnsi="Times New Roman" w:eastAsia="Times New Roman"/>
        </w:rPr>
        <w:t xml:space="preserve">3 </w:t>
      </w:r>
      <w:r>
        <w:rPr>
          <w:spacing w:val="-14"/>
        </w:rPr>
        <w:t>个</w:t>
      </w:r>
      <w:r>
        <w:t>月备查。</w:t>
      </w:r>
    </w:p>
    <w:p>
      <w:pPr>
        <w:pStyle w:val="4"/>
        <w:spacing w:line="328" w:lineRule="auto"/>
        <w:ind w:right="272" w:firstLine="640"/>
      </w:pPr>
      <w:r>
        <w:rPr>
          <w:spacing w:val="6"/>
          <w:w w:val="95"/>
        </w:rPr>
        <w:t xml:space="preserve">对考前身体状况异常和监测发现身体状况异常的考生， </w:t>
      </w:r>
      <w:r>
        <w:rPr>
          <w:spacing w:val="3"/>
        </w:rPr>
        <w:t>须由考点防疫副主考依据本地防疫工作要求,结合卫生健康</w:t>
      </w:r>
    </w:p>
    <w:p>
      <w:pPr>
        <w:spacing w:after="0" w:line="328" w:lineRule="auto"/>
        <w:sectPr>
          <w:footerReference r:id="rId3" w:type="default"/>
          <w:pgSz w:w="11910" w:h="16840"/>
          <w:pgMar w:top="1520" w:right="1360" w:bottom="1440" w:left="1680" w:header="0" w:footer="1251" w:gutter="0"/>
        </w:sectPr>
      </w:pPr>
    </w:p>
    <w:p>
      <w:pPr>
        <w:pStyle w:val="4"/>
        <w:spacing w:before="30" w:line="328" w:lineRule="auto"/>
        <w:ind w:right="436"/>
        <w:jc w:val="both"/>
      </w:pPr>
      <w:r>
        <w:rPr>
          <w:spacing w:val="-4"/>
        </w:rPr>
        <w:t>部门、疾控机构和医疗机构意见，在保障广大考生和考试工</w:t>
      </w:r>
      <w:r>
        <w:rPr>
          <w:spacing w:val="-6"/>
        </w:rPr>
        <w:t>作人员生命安全和身体健康前提下，综合研判评估是否具备</w:t>
      </w:r>
      <w:r>
        <w:rPr>
          <w:spacing w:val="-3"/>
        </w:rPr>
        <w:t>参加考试的条件，凡不具备相关条件的考生不得参加本次考</w:t>
      </w:r>
      <w:r>
        <w:t>试。</w:t>
      </w:r>
    </w:p>
    <w:p>
      <w:pPr>
        <w:pStyle w:val="4"/>
        <w:spacing w:line="328" w:lineRule="auto"/>
        <w:ind w:right="278" w:firstLine="640"/>
      </w:pPr>
      <w:r>
        <w:rPr>
          <w:spacing w:val="-12"/>
        </w:rPr>
        <w:t>如考生为新冠肺炎确诊病例、无症状感染者、疑似患者、</w:t>
      </w:r>
      <w:r>
        <w:rPr>
          <w:spacing w:val="-14"/>
        </w:rPr>
        <w:t xml:space="preserve">确诊病例密切接触者，或治愈未超过 </w:t>
      </w:r>
      <w:r>
        <w:t>14</w:t>
      </w:r>
      <w:r>
        <w:rPr>
          <w:spacing w:val="-18"/>
        </w:rPr>
        <w:t xml:space="preserve"> 天的病例、不能排除感染可能的发热患者，不得参加本次考试。</w:t>
      </w:r>
    </w:p>
    <w:p>
      <w:pPr>
        <w:pStyle w:val="4"/>
        <w:spacing w:line="328" w:lineRule="auto"/>
        <w:ind w:right="437" w:firstLine="640"/>
      </w:pPr>
      <w:r>
        <w:rPr>
          <w:spacing w:val="-1"/>
        </w:rPr>
        <w:t xml:space="preserve">凡筛查发现考前 </w:t>
      </w:r>
      <w:r>
        <w:rPr>
          <w:rFonts w:ascii="Times New Roman" w:eastAsia="Times New Roman"/>
        </w:rPr>
        <w:t>14</w:t>
      </w:r>
      <w:r>
        <w:rPr>
          <w:rFonts w:ascii="Times New Roman" w:eastAsia="Times New Roman"/>
          <w:spacing w:val="71"/>
        </w:rPr>
        <w:t xml:space="preserve"> </w:t>
      </w:r>
      <w:r>
        <w:rPr>
          <w:spacing w:val="-1"/>
        </w:rPr>
        <w:t>天内有境外或非低风险地区活动轨</w:t>
      </w:r>
      <w:r>
        <w:t>迹的，按当地政府有关疫情防控规定进行处理。</w:t>
      </w:r>
    </w:p>
    <w:p>
      <w:pPr>
        <w:spacing w:before="0" w:line="326" w:lineRule="auto"/>
        <w:ind w:left="120" w:right="436" w:firstLine="643"/>
        <w:jc w:val="left"/>
        <w:rPr>
          <w:sz w:val="32"/>
        </w:rPr>
      </w:pPr>
      <w:r>
        <w:rPr>
          <w:b/>
          <w:spacing w:val="-2"/>
          <w:sz w:val="32"/>
        </w:rPr>
        <w:t>对所有考试工作人员进行健康状况监测。</w:t>
      </w:r>
      <w:r>
        <w:rPr>
          <w:spacing w:val="-3"/>
          <w:sz w:val="32"/>
        </w:rPr>
        <w:t>所有考试工作</w:t>
      </w:r>
      <w:r>
        <w:rPr>
          <w:spacing w:val="-12"/>
          <w:sz w:val="32"/>
        </w:rPr>
        <w:t xml:space="preserve">人员应在考前 </w:t>
      </w:r>
      <w:r>
        <w:rPr>
          <w:rFonts w:ascii="Times New Roman" w:hAnsi="Times New Roman" w:eastAsia="Times New Roman"/>
          <w:sz w:val="32"/>
        </w:rPr>
        <w:t xml:space="preserve">14 </w:t>
      </w:r>
      <w:r>
        <w:rPr>
          <w:spacing w:val="-15"/>
          <w:sz w:val="32"/>
        </w:rPr>
        <w:t>天起，自行每日体温测量，填写“体温自我</w:t>
      </w:r>
    </w:p>
    <w:p>
      <w:pPr>
        <w:pStyle w:val="4"/>
        <w:spacing w:line="326" w:lineRule="auto"/>
        <w:ind w:right="436"/>
        <w:jc w:val="both"/>
      </w:pPr>
      <w:r>
        <w:t>监测登记表</w:t>
      </w:r>
      <w:r>
        <w:rPr>
          <w:rFonts w:ascii="Times New Roman" w:hAnsi="Times New Roman" w:eastAsia="Times New Roman"/>
          <w:spacing w:val="-41"/>
        </w:rPr>
        <w:t>”</w:t>
      </w:r>
      <w:r>
        <w:rPr>
          <w:spacing w:val="-16"/>
        </w:rPr>
        <w:t xml:space="preserve">，出现身体异常情况的要及时诊疗。考前 </w:t>
      </w:r>
      <w:r>
        <w:rPr>
          <w:rFonts w:ascii="Times New Roman" w:hAnsi="Times New Roman" w:eastAsia="Times New Roman"/>
        </w:rPr>
        <w:t xml:space="preserve">3 </w:t>
      </w:r>
      <w:r>
        <w:t>天内</w:t>
      </w:r>
      <w:r>
        <w:rPr>
          <w:spacing w:val="-2"/>
        </w:rPr>
        <w:t>有发热症状的不得参与考试工作。登记表在考试当天上交并</w:t>
      </w:r>
      <w:r>
        <w:rPr>
          <w:spacing w:val="-27"/>
        </w:rPr>
        <w:t xml:space="preserve">保留 </w:t>
      </w:r>
      <w:r>
        <w:rPr>
          <w:rFonts w:ascii="Times New Roman" w:hAnsi="Times New Roman" w:eastAsia="Times New Roman"/>
        </w:rPr>
        <w:t xml:space="preserve">3 </w:t>
      </w:r>
      <w:r>
        <w:t>个月备查。</w:t>
      </w:r>
    </w:p>
    <w:p>
      <w:pPr>
        <w:pStyle w:val="4"/>
        <w:spacing w:line="328" w:lineRule="auto"/>
        <w:ind w:right="116" w:firstLine="643"/>
      </w:pPr>
      <w:r>
        <w:rPr>
          <w:b/>
          <w:spacing w:val="-2"/>
        </w:rPr>
        <w:t>准备防疫用品。</w:t>
      </w:r>
      <w:r>
        <w:rPr>
          <w:spacing w:val="-2"/>
        </w:rPr>
        <w:t>各考点需要配备口罩</w:t>
      </w:r>
      <w:r>
        <w:t>（一次性使用医用 口罩或医用外科口罩</w:t>
      </w:r>
      <w:r>
        <w:rPr>
          <w:spacing w:val="-3"/>
        </w:rPr>
        <w:t xml:space="preserve">）、一次性手套、水银体温计、手持式 </w:t>
      </w:r>
      <w:r>
        <w:rPr>
          <w:spacing w:val="-6"/>
        </w:rPr>
        <w:t>体温检测仪等。有条件的可配置大通量无接触体温检测设备。</w:t>
      </w:r>
      <w:r>
        <w:rPr>
          <w:spacing w:val="-8"/>
        </w:rPr>
        <w:t xml:space="preserve">各考点要按每人每半天 </w:t>
      </w:r>
      <w:r>
        <w:rPr>
          <w:rFonts w:ascii="Times New Roman" w:eastAsia="Times New Roman"/>
        </w:rPr>
        <w:t>1</w:t>
      </w:r>
      <w:r>
        <w:rPr>
          <w:rFonts w:ascii="Times New Roman" w:eastAsia="Times New Roman"/>
          <w:spacing w:val="-9"/>
        </w:rPr>
        <w:t xml:space="preserve"> </w:t>
      </w:r>
      <w:r>
        <w:rPr>
          <w:spacing w:val="-1"/>
        </w:rPr>
        <w:t xml:space="preserve">支的标准为考试工作人员配备口罩， </w:t>
      </w:r>
      <w:r>
        <w:rPr>
          <w:spacing w:val="-6"/>
        </w:rPr>
        <w:t>并为考生准备一定数量的备用口罩</w:t>
      </w:r>
      <w:r>
        <w:t>（原则上考生口罩自备</w:t>
      </w:r>
      <w:r>
        <w:rPr>
          <w:spacing w:val="-84"/>
        </w:rPr>
        <w:t>）</w:t>
      </w:r>
      <w:r>
        <w:t>。</w:t>
      </w:r>
      <w:r>
        <w:rPr>
          <w:spacing w:val="-2"/>
        </w:rPr>
        <w:t>要配备数量充足的速干手消毒剂、含氯消毒剂、季铵盐类消 毒剂或其他有效的消毒剂。</w:t>
      </w:r>
    </w:p>
    <w:p>
      <w:pPr>
        <w:pStyle w:val="4"/>
        <w:spacing w:line="328" w:lineRule="auto"/>
        <w:ind w:right="280" w:firstLine="643"/>
      </w:pPr>
      <w:r>
        <w:rPr>
          <w:b/>
          <w:spacing w:val="-2"/>
        </w:rPr>
        <w:t>设置防控区域。</w:t>
      </w:r>
      <w:r>
        <w:rPr>
          <w:spacing w:val="-1"/>
        </w:rPr>
        <w:t>为最大可能减少人员聚焦，降低人员接</w:t>
      </w:r>
      <w:r>
        <w:rPr>
          <w:spacing w:val="-16"/>
        </w:rPr>
        <w:t xml:space="preserve">触，切实保障考生和涉考人员安全，各考点须设置防控区域， </w:t>
      </w:r>
      <w:r>
        <w:rPr>
          <w:spacing w:val="-2"/>
        </w:rPr>
        <w:t>各区域要有明显标识。考点要在考试封闭区域</w:t>
      </w:r>
      <w:r>
        <w:t>（考试楼</w:t>
      </w:r>
      <w:r>
        <w:rPr>
          <w:spacing w:val="-3"/>
        </w:rPr>
        <w:t>）</w:t>
      </w:r>
      <w:r>
        <w:t>的</w:t>
      </w:r>
    </w:p>
    <w:p>
      <w:pPr>
        <w:spacing w:after="0" w:line="328" w:lineRule="auto"/>
        <w:sectPr>
          <w:pgSz w:w="11910" w:h="16840"/>
          <w:pgMar w:top="1520" w:right="1360" w:bottom="1440" w:left="1680" w:header="0" w:footer="1251" w:gutter="0"/>
        </w:sectPr>
      </w:pPr>
    </w:p>
    <w:p>
      <w:pPr>
        <w:pStyle w:val="4"/>
        <w:spacing w:before="30" w:line="328" w:lineRule="auto"/>
        <w:ind w:right="284"/>
      </w:pPr>
      <w:r>
        <w:rPr>
          <w:spacing w:val="-1"/>
        </w:rPr>
        <w:t>入口处设置候检区、测温区、证件查验区、观察区。考生在</w:t>
      </w:r>
      <w:r>
        <w:rPr>
          <w:spacing w:val="-3"/>
        </w:rPr>
        <w:t>进入测温区入口前，首先应在候检区等候工作人员指令前行</w:t>
      </w:r>
      <w:r>
        <w:rPr>
          <w:spacing w:val="-4"/>
        </w:rPr>
        <w:t>进入测温区</w:t>
      </w:r>
      <w:r>
        <w:t>（可设置多个通道</w:t>
      </w:r>
      <w:r>
        <w:rPr>
          <w:spacing w:val="-4"/>
        </w:rPr>
        <w:t>）</w:t>
      </w:r>
      <w:r>
        <w:rPr>
          <w:spacing w:val="-2"/>
        </w:rPr>
        <w:t>，由工作人员手持红外线测</w:t>
      </w:r>
      <w:r>
        <w:rPr>
          <w:spacing w:val="-5"/>
        </w:rPr>
        <w:t>温枪，在考生通过时进行测温。体温正常的考生进入证件查</w:t>
      </w:r>
      <w:r>
        <w:rPr>
          <w:spacing w:val="-6"/>
        </w:rPr>
        <w:t>验区，由考点工作人员对考生证件、随身物品进行核查后方</w:t>
      </w:r>
      <w:r>
        <w:rPr>
          <w:spacing w:val="-7"/>
        </w:rPr>
        <w:t>可进入考试楼候考。体温异常的考生由专业医护人员带入观</w:t>
      </w:r>
      <w:r>
        <w:rPr>
          <w:spacing w:val="3"/>
          <w:w w:val="95"/>
        </w:rPr>
        <w:t xml:space="preserve">察区，以确定体温常异原因，并根据原因进行下一步操作。 </w:t>
      </w:r>
      <w:r>
        <w:t>对非本校考生须提供健康码并做好入场检查。</w:t>
      </w:r>
    </w:p>
    <w:p>
      <w:pPr>
        <w:pStyle w:val="4"/>
        <w:spacing w:line="328" w:lineRule="auto"/>
        <w:ind w:right="435" w:firstLine="643"/>
        <w:jc w:val="both"/>
      </w:pPr>
      <w:r>
        <w:rPr>
          <w:b/>
          <w:spacing w:val="-8"/>
        </w:rPr>
        <w:t>布置考场。</w:t>
      </w:r>
      <w:r>
        <w:rPr>
          <w:spacing w:val="-21"/>
        </w:rPr>
        <w:t xml:space="preserve">在符合 </w:t>
      </w:r>
      <w:r>
        <w:rPr>
          <w:rFonts w:ascii="Times New Roman" w:eastAsia="Times New Roman"/>
        </w:rPr>
        <w:t xml:space="preserve">NIT </w:t>
      </w:r>
      <w:r>
        <w:rPr>
          <w:spacing w:val="-5"/>
        </w:rPr>
        <w:t>考场设置要求基础上，低风险地</w:t>
      </w:r>
      <w:r>
        <w:rPr>
          <w:spacing w:val="-1"/>
        </w:rPr>
        <w:t xml:space="preserve">区考场内的考生座位横向间距 </w:t>
      </w:r>
      <w:r>
        <w:rPr>
          <w:rFonts w:ascii="Times New Roman" w:eastAsia="Times New Roman"/>
        </w:rPr>
        <w:t>80</w:t>
      </w:r>
      <w:r>
        <w:rPr>
          <w:rFonts w:ascii="Times New Roman" w:eastAsia="Times New Roman"/>
          <w:spacing w:val="71"/>
        </w:rPr>
        <w:t xml:space="preserve"> </w:t>
      </w:r>
      <w:r>
        <w:t>厘米以上，纵向间距根据</w:t>
      </w:r>
      <w:r>
        <w:rPr>
          <w:spacing w:val="-3"/>
        </w:rPr>
        <w:t>考场实际面积尽量增大；非低风险地区考场内座位设置前后</w:t>
      </w:r>
      <w:r>
        <w:rPr>
          <w:spacing w:val="-9"/>
        </w:rPr>
        <w:t xml:space="preserve">左右均应保持大于 </w:t>
      </w:r>
      <w:r>
        <w:rPr>
          <w:rFonts w:ascii="Times New Roman" w:eastAsia="Times New Roman"/>
        </w:rPr>
        <w:t xml:space="preserve">100 </w:t>
      </w:r>
      <w:r>
        <w:t>厘米的间距。</w:t>
      </w:r>
    </w:p>
    <w:p>
      <w:pPr>
        <w:pStyle w:val="4"/>
        <w:spacing w:line="328" w:lineRule="auto"/>
        <w:ind w:right="433" w:firstLine="643"/>
        <w:jc w:val="both"/>
      </w:pPr>
      <w:r>
        <w:rPr>
          <w:b/>
        </w:rPr>
        <w:t>设置备用隔离考位。</w:t>
      </w:r>
      <w:r>
        <w:rPr>
          <w:spacing w:val="-1"/>
        </w:rPr>
        <w:t xml:space="preserve">应配备不少于考试机数量 </w:t>
      </w:r>
      <w:r>
        <w:rPr>
          <w:rFonts w:ascii="Times New Roman" w:eastAsia="Times New Roman"/>
        </w:rPr>
        <w:t>3%</w:t>
      </w:r>
      <w:r>
        <w:rPr>
          <w:spacing w:val="2"/>
        </w:rPr>
        <w:t>的计</w:t>
      </w:r>
      <w:r>
        <w:rPr>
          <w:spacing w:val="-1"/>
        </w:rPr>
        <w:t>算机作为备用隔离考位。备用隔离考位应做明确标识，在外</w:t>
      </w:r>
      <w:r>
        <w:rPr>
          <w:spacing w:val="-7"/>
        </w:rPr>
        <w:t xml:space="preserve">围设置警戒线，与正常考位间隔不少于 </w:t>
      </w:r>
      <w:r>
        <w:rPr>
          <w:rFonts w:ascii="Times New Roman" w:eastAsia="Times New Roman"/>
        </w:rPr>
        <w:t xml:space="preserve">2 </w:t>
      </w:r>
      <w:r>
        <w:rPr>
          <w:spacing w:val="-3"/>
        </w:rPr>
        <w:t>米。考点对隔离考位考生须进行详细登记并上报上级机构。</w:t>
      </w:r>
    </w:p>
    <w:p>
      <w:pPr>
        <w:pStyle w:val="4"/>
        <w:spacing w:line="328" w:lineRule="auto"/>
        <w:ind w:right="438" w:firstLine="643"/>
        <w:jc w:val="both"/>
      </w:pPr>
      <w:r>
        <w:rPr>
          <w:b/>
          <w:spacing w:val="-2"/>
        </w:rPr>
        <w:t>考场编排。</w:t>
      </w:r>
      <w:r>
        <w:rPr>
          <w:spacing w:val="-2"/>
        </w:rPr>
        <w:t>适当延长相邻两批次间的时间间隔，保证批</w:t>
      </w:r>
      <w:r>
        <w:t>次间有充裕的时间来进行考场和考试机的消毒和通风。</w:t>
      </w:r>
    </w:p>
    <w:p>
      <w:pPr>
        <w:pStyle w:val="2"/>
        <w:numPr>
          <w:ilvl w:val="0"/>
          <w:numId w:val="2"/>
        </w:numPr>
        <w:tabs>
          <w:tab w:val="left" w:pos="1006"/>
        </w:tabs>
        <w:spacing w:before="0" w:after="0" w:line="408" w:lineRule="exact"/>
        <w:ind w:left="1005" w:right="0" w:hanging="242"/>
        <w:jc w:val="left"/>
      </w:pPr>
      <w:r>
        <w:t>考生和考试工作人员进入考点、考场</w:t>
      </w:r>
    </w:p>
    <w:p>
      <w:pPr>
        <w:pStyle w:val="19"/>
        <w:numPr>
          <w:ilvl w:val="0"/>
          <w:numId w:val="0"/>
        </w:numPr>
        <w:tabs>
          <w:tab w:val="left" w:pos="1243"/>
        </w:tabs>
        <w:spacing w:before="123" w:after="0" w:line="328" w:lineRule="auto"/>
        <w:ind w:right="272" w:rightChars="0" w:firstLine="607" w:firstLineChars="200"/>
        <w:jc w:val="left"/>
        <w:rPr>
          <w:sz w:val="32"/>
        </w:rPr>
      </w:pPr>
      <w:r>
        <w:rPr>
          <w:rFonts w:hint="eastAsia"/>
          <w:b/>
          <w:spacing w:val="-9"/>
          <w:sz w:val="32"/>
          <w:lang w:val="en-US" w:eastAsia="zh-CN"/>
        </w:rPr>
        <w:t>（1）</w:t>
      </w:r>
      <w:r>
        <w:rPr>
          <w:b/>
          <w:spacing w:val="-9"/>
          <w:sz w:val="32"/>
        </w:rPr>
        <w:t>所有人员必须接受体温测量。</w:t>
      </w:r>
      <w:r>
        <w:rPr>
          <w:spacing w:val="-22"/>
          <w:sz w:val="32"/>
        </w:rPr>
        <w:t>考试封闭区域</w:t>
      </w:r>
      <w:r>
        <w:rPr>
          <w:sz w:val="32"/>
        </w:rPr>
        <w:t>（考试楼）</w:t>
      </w:r>
      <w:r>
        <w:rPr>
          <w:spacing w:val="-2"/>
          <w:sz w:val="32"/>
        </w:rPr>
        <w:t>可设多个体温测量通道，所有进入该区域的考生、考试工</w:t>
      </w:r>
      <w:r>
        <w:rPr>
          <w:spacing w:val="-8"/>
          <w:sz w:val="32"/>
        </w:rPr>
        <w:t>作人员必须填写“健康情况声明书</w:t>
      </w:r>
      <w:r>
        <w:rPr>
          <w:rFonts w:ascii="Times New Roman" w:hAnsi="Times New Roman" w:eastAsia="Times New Roman"/>
          <w:spacing w:val="-26"/>
          <w:sz w:val="32"/>
        </w:rPr>
        <w:t>”</w:t>
      </w:r>
      <w:r>
        <w:rPr>
          <w:spacing w:val="-10"/>
          <w:sz w:val="32"/>
        </w:rPr>
        <w:t>，并接受体温测量。接受体温测量时须有序进行，严格控制人员行进速度和间距。</w:t>
      </w:r>
    </w:p>
    <w:p>
      <w:pPr>
        <w:pStyle w:val="4"/>
        <w:spacing w:line="405" w:lineRule="exact"/>
        <w:ind w:left="761"/>
      </w:pPr>
      <w:r>
        <w:rPr>
          <w:spacing w:val="-15"/>
        </w:rPr>
        <w:t xml:space="preserve">所有考生、考试工作人员体温低于 </w:t>
      </w:r>
      <w:r>
        <w:t>37.3℃方可进入考点。</w:t>
      </w:r>
    </w:p>
    <w:p>
      <w:pPr>
        <w:spacing w:after="0" w:line="405" w:lineRule="exact"/>
        <w:sectPr>
          <w:pgSz w:w="11910" w:h="16840"/>
          <w:pgMar w:top="1520" w:right="1360" w:bottom="1440" w:left="1680" w:header="0" w:footer="1251" w:gutter="0"/>
        </w:sectPr>
      </w:pPr>
    </w:p>
    <w:p>
      <w:pPr>
        <w:pStyle w:val="4"/>
        <w:spacing w:before="30" w:line="328" w:lineRule="auto"/>
        <w:ind w:right="436"/>
        <w:jc w:val="both"/>
      </w:pPr>
      <w:r>
        <w:rPr>
          <w:spacing w:val="-3"/>
        </w:rPr>
        <w:t>第一次测量体温不合格的，可适当休息后使用其他设备或其他方式再次测量。仍不合格的，考试工作人员不得承担考试</w:t>
      </w:r>
      <w:r>
        <w:t>工作，考生不得参加考试。</w:t>
      </w:r>
    </w:p>
    <w:p>
      <w:pPr>
        <w:pStyle w:val="2"/>
        <w:numPr>
          <w:ilvl w:val="0"/>
          <w:numId w:val="0"/>
        </w:numPr>
        <w:tabs>
          <w:tab w:val="left" w:pos="1246"/>
        </w:tabs>
        <w:spacing w:before="0" w:after="0" w:line="405" w:lineRule="exact"/>
        <w:ind w:right="0" w:rightChars="0" w:firstLine="843" w:firstLineChars="300"/>
        <w:jc w:val="left"/>
      </w:pPr>
      <w:r>
        <w:rPr>
          <w:rFonts w:hint="eastAsia" w:eastAsia="宋体"/>
          <w:lang w:val="en-US" w:eastAsia="zh-CN"/>
        </w:rPr>
        <w:t>（2）</w:t>
      </w:r>
      <w:r>
        <w:t>防护和消毒要求</w:t>
      </w:r>
    </w:p>
    <w:p>
      <w:pPr>
        <w:pStyle w:val="4"/>
        <w:spacing w:before="150" w:line="328" w:lineRule="auto"/>
        <w:ind w:right="437" w:firstLine="643"/>
        <w:jc w:val="both"/>
      </w:pPr>
      <w:r>
        <w:rPr>
          <w:b/>
          <w:spacing w:val="-2"/>
        </w:rPr>
        <w:t>关于防护。</w:t>
      </w:r>
      <w:r>
        <w:rPr>
          <w:spacing w:val="-2"/>
        </w:rPr>
        <w:t>考生不得因为佩戴口罩影响身份识别。低风险地区的考生在进入考场前要佩戴口罩，进入考场后由考生</w:t>
      </w:r>
      <w:r>
        <w:rPr>
          <w:spacing w:val="-3"/>
        </w:rPr>
        <w:t>自行决定是否佩戴；非低风险地区、备用隔离考位的考生要</w:t>
      </w:r>
      <w:r>
        <w:rPr>
          <w:spacing w:val="-4"/>
        </w:rPr>
        <w:t>全程佩戴口罩。考点入口负责体温测量的工作人员要佩戴一</w:t>
      </w:r>
      <w:r>
        <w:rPr>
          <w:spacing w:val="-2"/>
        </w:rPr>
        <w:t>次性使用医用口罩和一次性手套；普通考场监考员全程佩戴</w:t>
      </w:r>
      <w:r>
        <w:rPr>
          <w:spacing w:val="-3"/>
        </w:rPr>
        <w:t>一次性使用医用口罩。隔离考位的监考员及工作人员需穿戴</w:t>
      </w:r>
      <w:r>
        <w:rPr>
          <w:spacing w:val="-4"/>
        </w:rPr>
        <w:t>工作服、医用防护口罩和一次性手套等。所有考生、监考员</w:t>
      </w:r>
      <w:r>
        <w:t>和工作人员必须随时做好手卫生。</w:t>
      </w:r>
    </w:p>
    <w:p>
      <w:pPr>
        <w:pStyle w:val="4"/>
        <w:spacing w:line="328" w:lineRule="auto"/>
        <w:ind w:right="277" w:firstLine="643"/>
      </w:pPr>
      <w:r>
        <w:rPr>
          <w:b/>
        </w:rPr>
        <w:t>关于消毒。</w:t>
      </w:r>
      <w:r>
        <w:t>考前，考点要在当地卫生健康部门、疾控机构指导下，指定专人对考试场所、通道、区域、桌椅、电脑</w:t>
      </w:r>
      <w:r>
        <w:rPr>
          <w:w w:val="95"/>
        </w:rPr>
        <w:t xml:space="preserve">显示器、键盘和鼠标等进行清洁消毒，明确张贴完成标识。 </w:t>
      </w:r>
      <w:r>
        <w:t>未发生过新冠肺炎疫情的考试场所，要进行至少一次彻底的卫生大扫除和至少一次预防性消毒，消毒后要进行通风；发生过疫情的学校，原则上不做考点使用。考生、考试工作人员进入考场前宜用速干手消毒剂进行手消毒或者洗手。低风险地区在每天考试结束后，要对考场做一次预防性消毒；非低风险地区要在每批次考试结束后做一次预防性消毒并做好考场通风换气工作。</w:t>
      </w:r>
    </w:p>
    <w:p>
      <w:pPr>
        <w:pStyle w:val="4"/>
        <w:spacing w:line="393" w:lineRule="exact"/>
        <w:ind w:left="761"/>
      </w:pPr>
      <w:r>
        <w:rPr>
          <w:spacing w:val="-8"/>
        </w:rPr>
        <w:t xml:space="preserve">在每批次考试结束后，可用有效氯 </w:t>
      </w:r>
      <w:r>
        <w:t>500mg/L</w:t>
      </w:r>
      <w:r>
        <w:rPr>
          <w:spacing w:val="-15"/>
        </w:rPr>
        <w:t xml:space="preserve"> 的含氯消毒</w:t>
      </w:r>
    </w:p>
    <w:p>
      <w:pPr>
        <w:pStyle w:val="4"/>
        <w:spacing w:before="140"/>
        <w:jc w:val="both"/>
      </w:pPr>
      <w:r>
        <w:rPr>
          <w:spacing w:val="-1"/>
          <w:w w:val="95"/>
        </w:rPr>
        <w:t>剂或有效的消毒湿巾对考试机的显示器、键盘和鼠标等考生</w:t>
      </w:r>
    </w:p>
    <w:p>
      <w:pPr>
        <w:spacing w:after="0"/>
        <w:jc w:val="both"/>
        <w:sectPr>
          <w:pgSz w:w="11910" w:h="16840"/>
          <w:pgMar w:top="1520" w:right="1360" w:bottom="1440" w:left="1680" w:header="0" w:footer="1251" w:gutter="0"/>
        </w:sectPr>
      </w:pPr>
    </w:p>
    <w:p>
      <w:pPr>
        <w:pStyle w:val="4"/>
        <w:spacing w:before="30"/>
      </w:pPr>
      <w:r>
        <w:t>接触部位进行擦拭消毒。</w:t>
      </w:r>
    </w:p>
    <w:p>
      <w:pPr>
        <w:pStyle w:val="4"/>
        <w:spacing w:before="150" w:line="328" w:lineRule="auto"/>
        <w:ind w:right="119" w:firstLine="643"/>
      </w:pPr>
      <w:r>
        <w:rPr>
          <w:b/>
          <w:spacing w:val="-2"/>
        </w:rPr>
        <w:t>关于考场降温和通风。</w:t>
      </w:r>
      <w:r>
        <w:rPr>
          <w:spacing w:val="-2"/>
        </w:rPr>
        <w:t xml:space="preserve">在温度适宜的条件下，考点的考 </w:t>
      </w:r>
      <w:r>
        <w:rPr>
          <w:spacing w:val="-3"/>
        </w:rPr>
        <w:t xml:space="preserve">务办公室和考场可以保持自然通风，也可以采用电风扇等设 </w:t>
      </w:r>
      <w:r>
        <w:rPr>
          <w:spacing w:val="-15"/>
        </w:rPr>
        <w:t xml:space="preserve">备加强通风，电风扇在使用前应进行清洗。如使用冰块降温， 应保证冰块及制冰使用的水卫生安全。在使用电风扇降温时， </w:t>
      </w:r>
      <w:r>
        <w:t>门窗不要完全闭合。</w:t>
      </w:r>
    </w:p>
    <w:p>
      <w:pPr>
        <w:pStyle w:val="4"/>
        <w:spacing w:line="328" w:lineRule="auto"/>
        <w:ind w:right="274" w:firstLine="640"/>
      </w:pPr>
      <w:r>
        <w:rPr>
          <w:spacing w:val="6"/>
          <w:w w:val="95"/>
        </w:rPr>
        <w:t xml:space="preserve">考场可以使用分体空调或中央空调。如使用分体空调， </w:t>
      </w:r>
      <w:r>
        <w:rPr>
          <w:spacing w:val="-2"/>
        </w:rPr>
        <w:t>使用过程中考场门窗不要完全闭合，宜每场考试结束后</w:t>
      </w:r>
      <w:r>
        <w:t>（运</w:t>
      </w:r>
      <w:r>
        <w:rPr>
          <w:spacing w:val="-40"/>
        </w:rPr>
        <w:t xml:space="preserve">行 </w:t>
      </w:r>
      <w:r>
        <w:t>2～3</w:t>
      </w:r>
      <w:r>
        <w:rPr>
          <w:spacing w:val="-28"/>
        </w:rPr>
        <w:t xml:space="preserve"> 小时</w:t>
      </w:r>
      <w:r>
        <w:rPr>
          <w:spacing w:val="-8"/>
        </w:rPr>
        <w:t>）</w:t>
      </w:r>
      <w:r>
        <w:rPr>
          <w:spacing w:val="-14"/>
        </w:rPr>
        <w:t xml:space="preserve">通风换气约 </w:t>
      </w:r>
      <w:r>
        <w:t>20～30</w:t>
      </w:r>
      <w:r>
        <w:rPr>
          <w:spacing w:val="-10"/>
        </w:rPr>
        <w:t xml:space="preserve"> 分钟；如使用集中空调通</w:t>
      </w:r>
      <w:r>
        <w:rPr>
          <w:spacing w:val="-6"/>
        </w:rPr>
        <w:t>风系统，应保证通风系统正常，供风安全，以最大新风量运行，保证充足的新风输入，所有排风直接排到室外。</w:t>
      </w:r>
    </w:p>
    <w:p>
      <w:pPr>
        <w:pStyle w:val="2"/>
        <w:numPr>
          <w:ilvl w:val="0"/>
          <w:numId w:val="2"/>
        </w:numPr>
        <w:tabs>
          <w:tab w:val="left" w:pos="1006"/>
        </w:tabs>
        <w:spacing w:before="0" w:after="0" w:line="402" w:lineRule="exact"/>
        <w:ind w:left="1005" w:right="0" w:hanging="242"/>
        <w:jc w:val="left"/>
      </w:pPr>
      <w:r>
        <w:t>考试结束</w:t>
      </w:r>
    </w:p>
    <w:p>
      <w:pPr>
        <w:pStyle w:val="4"/>
        <w:spacing w:before="142" w:line="328" w:lineRule="auto"/>
        <w:ind w:right="438" w:firstLine="640"/>
        <w:jc w:val="both"/>
      </w:pPr>
      <w:r>
        <w:rPr>
          <w:spacing w:val="-3"/>
        </w:rPr>
        <w:t>考生散场时要按监考员的指令有序离场，不得拥挤，保</w:t>
      </w:r>
      <w:r>
        <w:rPr>
          <w:spacing w:val="-4"/>
        </w:rPr>
        <w:t>持人员间距。考点可安排各考场错峰离场。使用隔离考位的</w:t>
      </w:r>
      <w:r>
        <w:t>考生单独离开，与其他人员保持安全距离。</w:t>
      </w:r>
    </w:p>
    <w:p>
      <w:pPr>
        <w:pStyle w:val="4"/>
        <w:spacing w:line="326" w:lineRule="auto"/>
        <w:ind w:right="272" w:firstLine="640"/>
      </w:pPr>
      <w:r>
        <w:rPr>
          <w:spacing w:val="6"/>
          <w:w w:val="95"/>
        </w:rPr>
        <w:t xml:space="preserve">监考员在考务办公室要有序交接考试材料，不得拥挤， </w:t>
      </w:r>
      <w:r>
        <w:t>保持人员间距。</w:t>
      </w:r>
    </w:p>
    <w:p>
      <w:pPr>
        <w:pStyle w:val="2"/>
        <w:numPr>
          <w:ilvl w:val="0"/>
          <w:numId w:val="2"/>
        </w:numPr>
        <w:tabs>
          <w:tab w:val="left" w:pos="1006"/>
        </w:tabs>
        <w:spacing w:before="1" w:after="0" w:line="240" w:lineRule="auto"/>
        <w:ind w:left="1005" w:right="0" w:hanging="242"/>
        <w:jc w:val="left"/>
        <w:rPr>
          <w:rFonts w:hint="eastAsia" w:ascii="黑体" w:hAnsi="黑体" w:eastAsia="黑体" w:cs="黑体"/>
        </w:rPr>
      </w:pPr>
      <w:r>
        <w:rPr>
          <w:rFonts w:hint="eastAsia" w:ascii="黑体" w:hAnsi="黑体" w:eastAsia="黑体" w:cs="黑体"/>
        </w:rPr>
        <w:t>考试过程中异常情况</w:t>
      </w:r>
      <w:r>
        <w:rPr>
          <w:rFonts w:hint="eastAsia" w:ascii="黑体" w:hAnsi="黑体" w:eastAsia="黑体" w:cs="黑体"/>
          <w:lang w:val="en-US" w:eastAsia="zh-CN"/>
        </w:rPr>
        <w:t>处</w:t>
      </w:r>
      <w:r>
        <w:rPr>
          <w:rFonts w:hint="eastAsia" w:ascii="黑体" w:hAnsi="黑体" w:eastAsia="黑体" w:cs="黑体"/>
        </w:rPr>
        <w:t>置</w:t>
      </w:r>
    </w:p>
    <w:p>
      <w:pPr>
        <w:pStyle w:val="4"/>
        <w:spacing w:before="150" w:line="328" w:lineRule="auto"/>
        <w:ind w:right="281" w:firstLine="640"/>
        <w:jc w:val="both"/>
      </w:pPr>
      <w:r>
        <w:t>考试当天有发热、咳嗽等症状者，由考点分管防疫工作的负责人进行研判，具备继续完成考试条件的考生，须安排在备用隔离考位考试。考试结束时，由负责研判的专业人员</w:t>
      </w:r>
      <w:r>
        <w:rPr>
          <w:w w:val="95"/>
        </w:rPr>
        <w:t>当场简要向所有考生进行解释和说明，避免其他考生恐慌。</w:t>
      </w:r>
    </w:p>
    <w:p>
      <w:pPr>
        <w:pStyle w:val="2"/>
        <w:numPr>
          <w:ilvl w:val="0"/>
          <w:numId w:val="2"/>
        </w:numPr>
        <w:tabs>
          <w:tab w:val="left" w:pos="1006"/>
        </w:tabs>
        <w:spacing w:before="0" w:after="0" w:line="328" w:lineRule="auto"/>
        <w:ind w:left="720" w:right="6574" w:firstLine="43"/>
        <w:jc w:val="left"/>
      </w:pPr>
      <w:r>
        <w:rPr>
          <w:rFonts w:hint="eastAsia" w:ascii="黑体" w:hAnsi="黑体" w:eastAsia="黑体" w:cs="黑体"/>
          <w:spacing w:val="-4"/>
        </w:rPr>
        <w:t>相</w:t>
      </w:r>
      <w:r>
        <w:rPr>
          <w:rFonts w:hint="eastAsia" w:ascii="黑体" w:hAnsi="黑体" w:eastAsia="黑体" w:cs="黑体"/>
          <w:spacing w:val="-4"/>
          <w:lang w:val="en-US" w:eastAsia="zh-CN"/>
        </w:rPr>
        <w:t>关</w:t>
      </w:r>
      <w:r>
        <w:rPr>
          <w:rFonts w:hint="eastAsia" w:ascii="黑体" w:hAnsi="黑体" w:eastAsia="黑体" w:cs="黑体"/>
          <w:spacing w:val="-4"/>
        </w:rPr>
        <w:t>事项</w:t>
      </w:r>
      <w:r>
        <w:t>宣传</w:t>
      </w:r>
    </w:p>
    <w:p>
      <w:pPr>
        <w:spacing w:after="0" w:line="328" w:lineRule="auto"/>
        <w:jc w:val="left"/>
        <w:sectPr>
          <w:pgSz w:w="11910" w:h="16840"/>
          <w:pgMar w:top="1520" w:right="1360" w:bottom="1440" w:left="1680" w:header="0" w:footer="1251" w:gutter="0"/>
        </w:sectPr>
      </w:pPr>
    </w:p>
    <w:p>
      <w:pPr>
        <w:pStyle w:val="4"/>
        <w:spacing w:before="30" w:line="328" w:lineRule="auto"/>
        <w:ind w:right="433" w:firstLine="599"/>
        <w:jc w:val="both"/>
      </w:pPr>
      <w:r>
        <w:t>省级承办机构、市（区）</w:t>
      </w:r>
      <w:r>
        <w:rPr>
          <w:spacing w:val="-1"/>
        </w:rPr>
        <w:t>承办机构和考点要联合当地卫</w:t>
      </w:r>
      <w:r>
        <w:rPr>
          <w:spacing w:val="-3"/>
        </w:rPr>
        <w:t>生健康部门、疾控机构加大宣传力度，提高考生及考试工作</w:t>
      </w:r>
      <w:r>
        <w:rPr>
          <w:spacing w:val="-5"/>
        </w:rPr>
        <w:t>人员的公共卫生知识水平、健康意识和自我防护能力，告知</w:t>
      </w:r>
      <w:r>
        <w:rPr>
          <w:spacing w:val="-6"/>
        </w:rPr>
        <w:t>考生所采取的有关措施；对于考生、考试工作人员出现的焦</w:t>
      </w:r>
      <w:r>
        <w:rPr>
          <w:spacing w:val="-5"/>
        </w:rPr>
        <w:t>虑、焦躁情绪，各考点应在考前进行心理疏解和辅导，缓解压力，消除顾虑。</w:t>
      </w:r>
    </w:p>
    <w:p>
      <w:pPr>
        <w:pStyle w:val="2"/>
        <w:spacing w:line="400" w:lineRule="exact"/>
        <w:ind w:left="763" w:firstLine="0"/>
      </w:pPr>
      <w:r>
        <w:t>培训</w:t>
      </w:r>
    </w:p>
    <w:p>
      <w:pPr>
        <w:pStyle w:val="4"/>
        <w:spacing w:before="150" w:line="328" w:lineRule="auto"/>
        <w:ind w:right="436" w:firstLine="640"/>
        <w:jc w:val="both"/>
      </w:pPr>
      <w:r>
        <w:rPr>
          <w:spacing w:val="-2"/>
        </w:rPr>
        <w:t>省级承办机构、市</w:t>
      </w:r>
      <w:r>
        <w:t>（区</w:t>
      </w:r>
      <w:r>
        <w:rPr>
          <w:spacing w:val="-3"/>
        </w:rPr>
        <w:t>）</w:t>
      </w:r>
      <w:r>
        <w:rPr>
          <w:spacing w:val="-2"/>
        </w:rPr>
        <w:t>承办机构和考点要在考务培训中增加疫情防控和公共卫生突发事件应急处置等内容，考试</w:t>
      </w:r>
      <w:r>
        <w:t>工作人员应掌握防疫基本技能和考点内处置流程。</w:t>
      </w:r>
    </w:p>
    <w:p>
      <w:pPr>
        <w:pStyle w:val="2"/>
        <w:spacing w:line="405" w:lineRule="exact"/>
        <w:ind w:left="763" w:firstLine="0"/>
      </w:pPr>
      <w:r>
        <w:t>演练</w:t>
      </w:r>
    </w:p>
    <w:p>
      <w:pPr>
        <w:pStyle w:val="4"/>
        <w:spacing w:before="151" w:line="328" w:lineRule="auto"/>
        <w:ind w:right="436" w:firstLine="640"/>
        <w:jc w:val="both"/>
      </w:pPr>
      <w:r>
        <w:rPr>
          <w:spacing w:val="-4"/>
        </w:rPr>
        <w:t>考前，考点要组织考试工作人员、部分考生进行包括入</w:t>
      </w:r>
      <w:r>
        <w:rPr>
          <w:spacing w:val="-6"/>
        </w:rPr>
        <w:t>场体温检测、突发异常情况处置在内的全过程模拟演练。调</w:t>
      </w:r>
      <w:r>
        <w:rPr>
          <w:spacing w:val="-3"/>
        </w:rPr>
        <w:t>试设备，熟悉检测操作；为满足疫情防控要求，考点可将考</w:t>
      </w:r>
      <w:r>
        <w:rPr>
          <w:spacing w:val="-4"/>
        </w:rPr>
        <w:t>生进入考试封闭区域</w:t>
      </w:r>
      <w:r>
        <w:t>（考试楼</w:t>
      </w:r>
      <w:r>
        <w:rPr>
          <w:spacing w:val="-5"/>
        </w:rPr>
        <w:t>）</w:t>
      </w:r>
      <w:r>
        <w:rPr>
          <w:spacing w:val="-2"/>
        </w:rPr>
        <w:t>时间适当提前，设定合理的</w:t>
      </w:r>
      <w:r>
        <w:rPr>
          <w:spacing w:val="-4"/>
        </w:rPr>
        <w:t>进场开始时间，控制入场、离场进度；熟练掌握突发事件应</w:t>
      </w:r>
      <w:r>
        <w:t>急处置方法和程序。</w:t>
      </w:r>
    </w:p>
    <w:p>
      <w:pPr>
        <w:pStyle w:val="2"/>
        <w:spacing w:line="401" w:lineRule="exact"/>
        <w:ind w:left="763" w:firstLine="0"/>
      </w:pPr>
      <w:r>
        <w:t>技术保障</w:t>
      </w:r>
    </w:p>
    <w:p>
      <w:pPr>
        <w:pStyle w:val="4"/>
        <w:spacing w:before="149" w:line="328" w:lineRule="auto"/>
        <w:ind w:right="74" w:firstLine="640"/>
      </w:pPr>
      <w:r>
        <w:t>省级承办机构、市（区）承办机构和考点要做好考点的视频监控录像、身份识别、作弊防控、综合管理、考生服务 等系统运维工作，确保设备到位、功能实现、使用正常，采 取有效手段做好考生、考试工作人员的身份识别和验证工作。</w:t>
      </w:r>
    </w:p>
    <w:p>
      <w:pPr>
        <w:pStyle w:val="2"/>
        <w:ind w:left="763" w:firstLine="0"/>
      </w:pPr>
      <w:r>
        <w:t>考生赴考</w:t>
      </w:r>
    </w:p>
    <w:p>
      <w:pPr>
        <w:pStyle w:val="4"/>
        <w:spacing w:before="152"/>
        <w:ind w:left="761"/>
      </w:pPr>
      <w:r>
        <w:t>省级承办机构、市（区）承办机构和考点应在考前提醒</w:t>
      </w:r>
    </w:p>
    <w:p>
      <w:pPr>
        <w:spacing w:after="0"/>
        <w:sectPr>
          <w:pgSz w:w="11910" w:h="16840"/>
          <w:pgMar w:top="1520" w:right="1360" w:bottom="1440" w:left="1680" w:header="0" w:footer="1251" w:gutter="0"/>
        </w:sectPr>
      </w:pPr>
    </w:p>
    <w:p>
      <w:pPr>
        <w:pStyle w:val="4"/>
        <w:spacing w:before="30" w:line="328" w:lineRule="auto"/>
        <w:ind w:right="277"/>
      </w:pPr>
      <w:r>
        <w:rPr>
          <w:spacing w:val="-4"/>
        </w:rPr>
        <w:t>考生，出行时提前准备好口罩，做好个人防护，遵守考点学</w:t>
      </w:r>
      <w:r>
        <w:rPr>
          <w:spacing w:val="-5"/>
        </w:rPr>
        <w:t>校防疫规定，配合考点学校完成健康检查和登记。非封闭式</w:t>
      </w:r>
      <w:r>
        <w:rPr>
          <w:spacing w:val="3"/>
          <w:w w:val="95"/>
        </w:rPr>
        <w:t xml:space="preserve">管理的考生，如乘坐私家车、步行、骑自行车赴考点途中， </w:t>
      </w:r>
      <w:r>
        <w:rPr>
          <w:spacing w:val="-2"/>
        </w:rPr>
        <w:t>可不必佩戴口罩。如乘坐出租车或网约车赴考点，乘坐时在</w:t>
      </w:r>
      <w:r>
        <w:rPr>
          <w:spacing w:val="-4"/>
        </w:rPr>
        <w:t>后排落座并全程佩戴口罩，下车后应及时做好手卫生。如乘</w:t>
      </w:r>
      <w:r>
        <w:rPr>
          <w:spacing w:val="-16"/>
        </w:rPr>
        <w:t xml:space="preserve">坐公共交通工具赴考点，全程佩戴口罩，可佩戴一次性手套， </w:t>
      </w:r>
      <w:r>
        <w:rPr>
          <w:spacing w:val="-3"/>
        </w:rPr>
        <w:t>并做好手卫生。途中尽量避免用手接触其他物品，与周围乘</w:t>
      </w:r>
      <w:r>
        <w:rPr>
          <w:spacing w:val="-5"/>
        </w:rPr>
        <w:t>客尽可能保持安全距离。如乘坐校车赴考点，宜全程佩戴口罩，保持开窗通风、分散就座，途中避免在车上饮食和用手接触其他物品，下车后做好手卫生。</w:t>
      </w:r>
    </w:p>
    <w:p>
      <w:pPr>
        <w:pStyle w:val="4"/>
        <w:spacing w:line="393" w:lineRule="exact"/>
        <w:ind w:left="761"/>
        <w:rPr>
          <w:rFonts w:hint="eastAsia" w:ascii="黑体" w:eastAsia="黑体"/>
        </w:rPr>
      </w:pPr>
      <w:r>
        <w:rPr>
          <w:rFonts w:hint="eastAsia" w:ascii="黑体" w:eastAsia="黑体"/>
        </w:rPr>
        <w:t>四、其他工作要求</w:t>
      </w:r>
    </w:p>
    <w:p>
      <w:pPr>
        <w:pStyle w:val="4"/>
        <w:spacing w:before="152" w:line="326" w:lineRule="auto"/>
        <w:ind w:right="437" w:firstLine="640"/>
      </w:pPr>
      <w:r>
        <w:rPr>
          <w:spacing w:val="-2"/>
        </w:rPr>
        <w:t>组考工作中的疫情防控措施要符合国家、当地政府关于</w:t>
      </w:r>
      <w:r>
        <w:t>疫情防控的各项法律、法规、制度的规定。</w:t>
      </w:r>
    </w:p>
    <w:p>
      <w:pPr>
        <w:pStyle w:val="4"/>
        <w:spacing w:before="4" w:line="328" w:lineRule="auto"/>
        <w:ind w:right="436" w:firstLine="640"/>
      </w:pPr>
      <w:r>
        <w:rPr>
          <w:spacing w:val="-2"/>
        </w:rPr>
        <w:t>省级承办机构、市</w:t>
      </w:r>
      <w:r>
        <w:t>（区</w:t>
      </w:r>
      <w:r>
        <w:rPr>
          <w:spacing w:val="-3"/>
        </w:rPr>
        <w:t>）</w:t>
      </w:r>
      <w:r>
        <w:rPr>
          <w:spacing w:val="-2"/>
        </w:rPr>
        <w:t>承办机构和考点可结合本地实</w:t>
      </w:r>
      <w:r>
        <w:t>际，在本指导意见的基础上制定实施细则。</w:t>
      </w:r>
    </w:p>
    <w:p>
      <w:pPr>
        <w:pStyle w:val="4"/>
        <w:spacing w:line="326" w:lineRule="auto"/>
        <w:ind w:right="444" w:firstLine="640"/>
        <w:sectPr>
          <w:pgSz w:w="11910" w:h="16840"/>
          <w:pgMar w:top="1520" w:right="1360" w:bottom="1440" w:left="1680" w:header="0" w:footer="1251" w:gutter="0"/>
        </w:sectPr>
      </w:pPr>
      <w:r>
        <w:rPr>
          <w:spacing w:val="12"/>
          <w:w w:val="95"/>
        </w:rPr>
        <w:t xml:space="preserve">本指导意见随疫情的发展状况和当地政府关于疫情防 </w:t>
      </w:r>
      <w:r>
        <w:t>控的要求适时作出调整。</w:t>
      </w:r>
    </w:p>
    <w:p>
      <w:pPr>
        <w:pStyle w:val="4"/>
        <w:spacing w:before="368"/>
        <w:ind w:firstLine="2521" w:firstLineChars="700"/>
        <w:jc w:val="both"/>
        <w:rPr>
          <w:rFonts w:hint="eastAsia" w:ascii="微软雅黑" w:eastAsia="微软雅黑"/>
          <w:b/>
          <w:bCs/>
          <w:sz w:val="36"/>
          <w:szCs w:val="36"/>
        </w:rPr>
      </w:pPr>
      <w:r>
        <w:rPr>
          <w:rFonts w:hint="eastAsia" w:ascii="微软雅黑" w:eastAsia="微软雅黑"/>
          <w:b/>
          <w:bCs/>
          <w:sz w:val="36"/>
          <w:szCs w:val="36"/>
        </w:rPr>
        <w:t>健康情况声明书</w:t>
      </w:r>
    </w:p>
    <w:p>
      <w:pPr>
        <w:spacing w:before="66" w:line="364" w:lineRule="auto"/>
        <w:ind w:right="318" w:firstLine="640" w:firstLineChars="200"/>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本人已知晓并理解、遵守全国计算机应用水平考试关于考生个人（工作人员） 健康要求和新冠肺炎疫情防控相关管理规定，并做如下声明：</w:t>
      </w:r>
    </w:p>
    <w:p>
      <w:pPr>
        <w:spacing w:before="1" w:line="364" w:lineRule="auto"/>
        <w:ind w:left="120" w:right="436" w:firstLine="419"/>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（一）本人不属于疫情防控要求 </w:t>
      </w:r>
      <w:r>
        <w:rPr>
          <w:rFonts w:ascii="仿宋" w:hAnsi="仿宋" w:eastAsia="仿宋" w:cs="仿宋"/>
          <w:kern w:val="2"/>
          <w:sz w:val="32"/>
          <w:szCs w:val="32"/>
          <w:lang w:val="en-US" w:eastAsia="zh-CN" w:bidi="ar-SA"/>
        </w:rPr>
        <w:t xml:space="preserve">14 </w:t>
      </w:r>
      <w:r>
        <w:rPr>
          <w:rFonts w:hint="eastAsia" w:ascii="仿宋" w:hAnsi="仿宋" w:eastAsia="仿宋" w:cs="仿宋"/>
          <w:kern w:val="2"/>
          <w:sz w:val="32"/>
          <w:szCs w:val="32"/>
          <w:lang w:val="en-US" w:eastAsia="zh-CN" w:bidi="ar-SA"/>
        </w:rPr>
        <w:t>天强制隔离期、医学观察期或自我隔离期内的人群。</w:t>
      </w:r>
    </w:p>
    <w:p>
      <w:pPr>
        <w:spacing w:before="2" w:line="364" w:lineRule="auto"/>
        <w:ind w:left="120" w:right="436" w:firstLine="419"/>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（二）本人在考前 </w:t>
      </w:r>
      <w:r>
        <w:rPr>
          <w:rFonts w:ascii="仿宋" w:hAnsi="仿宋" w:eastAsia="仿宋" w:cs="仿宋"/>
          <w:kern w:val="2"/>
          <w:sz w:val="32"/>
          <w:szCs w:val="32"/>
          <w:lang w:val="en-US" w:eastAsia="zh-CN" w:bidi="ar-SA"/>
        </w:rPr>
        <w:t xml:space="preserve">14 </w:t>
      </w:r>
      <w:r>
        <w:rPr>
          <w:rFonts w:hint="eastAsia" w:ascii="仿宋" w:hAnsi="仿宋" w:eastAsia="仿宋" w:cs="仿宋"/>
          <w:kern w:val="2"/>
          <w:sz w:val="32"/>
          <w:szCs w:val="32"/>
          <w:lang w:val="en-US" w:eastAsia="zh-CN" w:bidi="ar-SA"/>
        </w:rPr>
        <w:t>天内如实填写</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体温自我监测登记表</w:t>
      </w:r>
      <w:r>
        <w:rPr>
          <w:rFonts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CN" w:bidi="ar-SA"/>
        </w:rPr>
        <w:t>，体温和个人健康情况均正常。</w:t>
      </w:r>
    </w:p>
    <w:p>
      <w:pPr>
        <w:spacing w:before="1" w:line="364" w:lineRule="auto"/>
        <w:ind w:left="120" w:right="384" w:firstLine="419"/>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（三）考试过程中如出现咳嗽、发热等身体不适情况，我愿自行放弃考试或遵守考试工作人员安排到指定区域考试。</w:t>
      </w:r>
    </w:p>
    <w:p>
      <w:pPr>
        <w:spacing w:before="1" w:line="364" w:lineRule="auto"/>
        <w:ind w:left="120" w:right="384" w:firstLine="796" w:firstLineChars="249"/>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本人保证以上声明信息真实、准确、完整，并知悉我将承担瞒报的法律后果及责任。</w:t>
      </w:r>
    </w:p>
    <w:p>
      <w:pPr>
        <w:spacing w:before="2" w:line="364" w:lineRule="auto"/>
        <w:ind w:left="120" w:right="437" w:firstLine="479"/>
        <w:jc w:val="left"/>
        <w:rPr>
          <w:rFonts w:hint="eastAsia" w:ascii="仿宋" w:hAnsi="仿宋" w:eastAsia="仿宋" w:cs="仿宋"/>
          <w:kern w:val="2"/>
          <w:sz w:val="32"/>
          <w:szCs w:val="32"/>
          <w:lang w:val="en-US" w:eastAsia="zh-CN" w:bidi="ar-SA"/>
        </w:rPr>
      </w:pPr>
    </w:p>
    <w:p>
      <w:pPr>
        <w:spacing w:before="2" w:line="364" w:lineRule="auto"/>
        <w:ind w:left="120" w:right="437" w:firstLine="479"/>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声明人（签字）：</w:t>
      </w:r>
    </w:p>
    <w:p>
      <w:pPr>
        <w:spacing w:before="2" w:line="364" w:lineRule="auto"/>
        <w:ind w:left="120" w:right="437" w:firstLine="479"/>
        <w:jc w:val="left"/>
        <w:rPr>
          <w:rFonts w:hint="eastAsia" w:ascii="仿宋" w:hAnsi="仿宋" w:eastAsia="仿宋" w:cs="仿宋"/>
          <w:kern w:val="2"/>
          <w:sz w:val="32"/>
          <w:szCs w:val="32"/>
          <w:lang w:val="en-US" w:eastAsia="zh-CN" w:bidi="ar-SA"/>
        </w:rPr>
      </w:pPr>
    </w:p>
    <w:p>
      <w:pPr>
        <w:spacing w:before="2" w:line="364" w:lineRule="auto"/>
        <w:ind w:left="120" w:right="437" w:firstLine="479"/>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日期：                  联系电话：</w:t>
      </w:r>
    </w:p>
    <w:p>
      <w:pPr>
        <w:spacing w:before="115" w:after="38"/>
        <w:ind w:left="735" w:right="901" w:firstLine="0"/>
        <w:jc w:val="center"/>
        <w:rPr>
          <w:rFonts w:hint="eastAsia" w:ascii="微软雅黑" w:eastAsia="微软雅黑"/>
          <w:sz w:val="30"/>
        </w:rPr>
      </w:pPr>
    </w:p>
    <w:p>
      <w:pPr>
        <w:spacing w:before="115" w:after="38"/>
        <w:ind w:left="735" w:right="901" w:firstLine="0"/>
        <w:jc w:val="center"/>
        <w:rPr>
          <w:rFonts w:hint="eastAsia" w:ascii="微软雅黑" w:eastAsia="微软雅黑"/>
          <w:sz w:val="30"/>
        </w:rPr>
      </w:pPr>
    </w:p>
    <w:p>
      <w:pPr>
        <w:spacing w:before="115" w:after="38"/>
        <w:ind w:left="735" w:right="901" w:firstLine="0"/>
        <w:jc w:val="center"/>
        <w:rPr>
          <w:rFonts w:hint="eastAsia" w:ascii="微软雅黑" w:eastAsia="微软雅黑"/>
          <w:sz w:val="30"/>
        </w:rPr>
      </w:pPr>
    </w:p>
    <w:p>
      <w:pPr>
        <w:spacing w:before="115" w:after="38"/>
        <w:ind w:left="735" w:right="901" w:firstLine="0"/>
        <w:jc w:val="center"/>
        <w:rPr>
          <w:rFonts w:hint="eastAsia" w:ascii="微软雅黑" w:eastAsia="微软雅黑"/>
          <w:sz w:val="30"/>
        </w:rPr>
      </w:pPr>
    </w:p>
    <w:p>
      <w:pPr>
        <w:spacing w:before="115" w:after="38"/>
        <w:ind w:right="901" w:firstLine="2520" w:firstLineChars="700"/>
        <w:jc w:val="both"/>
        <w:rPr>
          <w:rFonts w:hint="eastAsia" w:ascii="黑体" w:hAnsi="黑体" w:eastAsia="黑体" w:cs="黑体"/>
          <w:sz w:val="36"/>
          <w:szCs w:val="36"/>
        </w:rPr>
      </w:pPr>
      <w:r>
        <w:rPr>
          <w:rFonts w:hint="eastAsia" w:ascii="黑体" w:hAnsi="黑体" w:eastAsia="黑体" w:cs="黑体"/>
          <w:sz w:val="36"/>
          <w:szCs w:val="36"/>
        </w:rPr>
        <w:t>体温自我监测登记表</w:t>
      </w:r>
    </w:p>
    <w:tbl>
      <w:tblPr>
        <w:tblStyle w:val="10"/>
        <w:tblW w:w="0" w:type="auto"/>
        <w:tblInd w:w="5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15"/>
        <w:gridCol w:w="2420"/>
        <w:gridCol w:w="25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661" w:right="652"/>
              <w:jc w:val="center"/>
              <w:textAlignment w:val="auto"/>
              <w:rPr>
                <w:b/>
                <w:sz w:val="24"/>
                <w:szCs w:val="24"/>
              </w:rPr>
            </w:pPr>
            <w:r>
              <w:rPr>
                <w:b/>
                <w:sz w:val="24"/>
                <w:szCs w:val="24"/>
              </w:rPr>
              <w:t>序号</w:t>
            </w:r>
          </w:p>
        </w:tc>
        <w:tc>
          <w:tcPr>
            <w:tcW w:w="2420"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978" w:right="970"/>
              <w:jc w:val="center"/>
              <w:textAlignment w:val="auto"/>
              <w:rPr>
                <w:b/>
                <w:sz w:val="24"/>
                <w:szCs w:val="24"/>
              </w:rPr>
            </w:pPr>
            <w:r>
              <w:rPr>
                <w:b/>
                <w:sz w:val="24"/>
                <w:szCs w:val="24"/>
              </w:rPr>
              <w:t>日期</w:t>
            </w:r>
          </w:p>
        </w:tc>
        <w:tc>
          <w:tcPr>
            <w:tcW w:w="2562"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1047" w:right="1042"/>
              <w:jc w:val="center"/>
              <w:textAlignment w:val="auto"/>
              <w:rPr>
                <w:b/>
                <w:sz w:val="24"/>
                <w:szCs w:val="24"/>
              </w:rPr>
            </w:pPr>
            <w:r>
              <w:rPr>
                <w:b/>
                <w:sz w:val="24"/>
                <w:szCs w:val="24"/>
              </w:rPr>
              <w:t>体温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14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13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9" w:line="320" w:lineRule="exact"/>
              <w:ind w:left="0" w:leftChars="0" w:right="652" w:firstLine="0" w:firstLineChars="0"/>
              <w:jc w:val="left"/>
              <w:textAlignment w:val="auto"/>
              <w:rPr>
                <w:sz w:val="24"/>
                <w:szCs w:val="24"/>
              </w:rPr>
            </w:pPr>
            <w:r>
              <w:rPr>
                <w:sz w:val="24"/>
                <w:szCs w:val="24"/>
              </w:rPr>
              <w:t>考前 12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11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7" w:line="320" w:lineRule="exact"/>
              <w:ind w:left="0" w:leftChars="0" w:right="652" w:firstLine="0" w:firstLineChars="0"/>
              <w:jc w:val="left"/>
              <w:textAlignment w:val="auto"/>
              <w:rPr>
                <w:sz w:val="24"/>
                <w:szCs w:val="24"/>
              </w:rPr>
            </w:pPr>
            <w:r>
              <w:rPr>
                <w:sz w:val="24"/>
                <w:szCs w:val="24"/>
              </w:rPr>
              <w:t>考前 10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9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8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7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9" w:line="320" w:lineRule="exact"/>
              <w:ind w:left="0" w:leftChars="0" w:right="652" w:firstLine="0" w:firstLineChars="0"/>
              <w:jc w:val="left"/>
              <w:textAlignment w:val="auto"/>
              <w:rPr>
                <w:sz w:val="24"/>
                <w:szCs w:val="24"/>
              </w:rPr>
            </w:pPr>
            <w:r>
              <w:rPr>
                <w:sz w:val="24"/>
                <w:szCs w:val="24"/>
              </w:rPr>
              <w:t>考前 6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5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4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3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6" w:line="320" w:lineRule="exact"/>
              <w:ind w:left="0" w:leftChars="0" w:right="652" w:firstLine="0" w:firstLineChars="0"/>
              <w:jc w:val="left"/>
              <w:textAlignment w:val="auto"/>
              <w:rPr>
                <w:sz w:val="24"/>
                <w:szCs w:val="24"/>
              </w:rPr>
            </w:pPr>
            <w:r>
              <w:rPr>
                <w:sz w:val="24"/>
                <w:szCs w:val="24"/>
              </w:rPr>
              <w:t>考前 2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415" w:type="dxa"/>
          </w:tcPr>
          <w:p>
            <w:pPr>
              <w:pStyle w:val="21"/>
              <w:keepNext w:val="0"/>
              <w:keepLines w:val="0"/>
              <w:pageBreakBefore w:val="0"/>
              <w:widowControl w:val="0"/>
              <w:kinsoku/>
              <w:wordWrap/>
              <w:overflowPunct/>
              <w:topLinePunct w:val="0"/>
              <w:autoSpaceDE/>
              <w:autoSpaceDN/>
              <w:bidi w:val="0"/>
              <w:adjustRightInd/>
              <w:snapToGrid/>
              <w:spacing w:before="47" w:line="320" w:lineRule="exact"/>
              <w:ind w:left="0" w:leftChars="0" w:right="652" w:firstLine="0" w:firstLineChars="0"/>
              <w:jc w:val="left"/>
              <w:textAlignment w:val="auto"/>
              <w:rPr>
                <w:sz w:val="24"/>
                <w:szCs w:val="24"/>
              </w:rPr>
            </w:pPr>
            <w:r>
              <w:rPr>
                <w:sz w:val="24"/>
                <w:szCs w:val="24"/>
              </w:rPr>
              <w:t>考前 1 天</w:t>
            </w:r>
          </w:p>
        </w:tc>
        <w:tc>
          <w:tcPr>
            <w:tcW w:w="2420"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c>
          <w:tcPr>
            <w:tcW w:w="2562" w:type="dxa"/>
          </w:tcPr>
          <w:p>
            <w:pPr>
              <w:pStyle w:val="21"/>
              <w:keepNext w:val="0"/>
              <w:keepLines w:val="0"/>
              <w:pageBreakBefore w:val="0"/>
              <w:widowControl w:val="0"/>
              <w:kinsoku/>
              <w:wordWrap/>
              <w:overflowPunct/>
              <w:topLinePunct w:val="0"/>
              <w:autoSpaceDE/>
              <w:autoSpaceDN/>
              <w:bidi w:val="0"/>
              <w:adjustRightInd/>
              <w:snapToGrid/>
              <w:spacing w:line="320" w:lineRule="exact"/>
              <w:textAlignment w:val="auto"/>
              <w:rPr>
                <w:rFonts w:ascii="Times New Roman"/>
                <w:sz w:val="24"/>
                <w:szCs w:val="24"/>
              </w:rPr>
            </w:pPr>
          </w:p>
        </w:tc>
      </w:tr>
    </w:tbl>
    <w:p>
      <w:pPr>
        <w:spacing w:before="0"/>
        <w:ind w:left="600" w:right="0" w:firstLine="0"/>
        <w:jc w:val="left"/>
        <w:rPr>
          <w:rFonts w:hint="eastAsia" w:ascii="宋体" w:eastAsia="宋体"/>
          <w:sz w:val="24"/>
        </w:rPr>
      </w:pPr>
    </w:p>
    <w:p>
      <w:pPr>
        <w:spacing w:before="0"/>
        <w:ind w:left="600" w:right="0" w:firstLine="0"/>
        <w:jc w:val="left"/>
        <w:rPr>
          <w:rFonts w:hint="eastAsia" w:asciiTheme="minorEastAsia" w:hAnsiTheme="minorEastAsia" w:eastAsiaTheme="minorEastAsia" w:cstheme="minorEastAsia"/>
          <w:sz w:val="32"/>
          <w:szCs w:val="32"/>
          <w:lang w:eastAsia="zh-CN" w:bidi="ar"/>
        </w:rPr>
      </w:pPr>
      <w:r>
        <w:rPr>
          <w:rFonts w:hint="eastAsia" w:ascii="宋体" w:eastAsia="宋体"/>
          <w:sz w:val="24"/>
        </w:rPr>
        <w:t>注：考试当天考点入场检查时需上交本表，每位考生每科目一张。</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005" w:hanging="242"/>
        <w:jc w:val="left"/>
      </w:pPr>
      <w:rPr>
        <w:rFonts w:hint="default" w:ascii="Times New Roman" w:hAnsi="Times New Roman" w:eastAsia="Times New Roman" w:cs="Times New Roman"/>
        <w:b/>
        <w:bCs/>
        <w:spacing w:val="-1"/>
        <w:w w:val="99"/>
        <w:sz w:val="30"/>
        <w:szCs w:val="30"/>
        <w:lang w:val="zh-CN" w:eastAsia="zh-CN" w:bidi="zh-CN"/>
      </w:rPr>
    </w:lvl>
    <w:lvl w:ilvl="1" w:tentative="0">
      <w:start w:val="0"/>
      <w:numFmt w:val="bullet"/>
      <w:lvlText w:val="•"/>
      <w:lvlJc w:val="left"/>
      <w:pPr>
        <w:ind w:left="1786" w:hanging="242"/>
      </w:pPr>
      <w:rPr>
        <w:rFonts w:hint="default"/>
        <w:lang w:val="zh-CN" w:eastAsia="zh-CN" w:bidi="zh-CN"/>
      </w:rPr>
    </w:lvl>
    <w:lvl w:ilvl="2" w:tentative="0">
      <w:start w:val="0"/>
      <w:numFmt w:val="bullet"/>
      <w:lvlText w:val="•"/>
      <w:lvlJc w:val="left"/>
      <w:pPr>
        <w:ind w:left="2573" w:hanging="242"/>
      </w:pPr>
      <w:rPr>
        <w:rFonts w:hint="default"/>
        <w:lang w:val="zh-CN" w:eastAsia="zh-CN" w:bidi="zh-CN"/>
      </w:rPr>
    </w:lvl>
    <w:lvl w:ilvl="3" w:tentative="0">
      <w:start w:val="0"/>
      <w:numFmt w:val="bullet"/>
      <w:lvlText w:val="•"/>
      <w:lvlJc w:val="left"/>
      <w:pPr>
        <w:ind w:left="3359" w:hanging="242"/>
      </w:pPr>
      <w:rPr>
        <w:rFonts w:hint="default"/>
        <w:lang w:val="zh-CN" w:eastAsia="zh-CN" w:bidi="zh-CN"/>
      </w:rPr>
    </w:lvl>
    <w:lvl w:ilvl="4" w:tentative="0">
      <w:start w:val="0"/>
      <w:numFmt w:val="bullet"/>
      <w:lvlText w:val="•"/>
      <w:lvlJc w:val="left"/>
      <w:pPr>
        <w:ind w:left="4146" w:hanging="242"/>
      </w:pPr>
      <w:rPr>
        <w:rFonts w:hint="default"/>
        <w:lang w:val="zh-CN" w:eastAsia="zh-CN" w:bidi="zh-CN"/>
      </w:rPr>
    </w:lvl>
    <w:lvl w:ilvl="5" w:tentative="0">
      <w:start w:val="0"/>
      <w:numFmt w:val="bullet"/>
      <w:lvlText w:val="•"/>
      <w:lvlJc w:val="left"/>
      <w:pPr>
        <w:ind w:left="4933" w:hanging="242"/>
      </w:pPr>
      <w:rPr>
        <w:rFonts w:hint="default"/>
        <w:lang w:val="zh-CN" w:eastAsia="zh-CN" w:bidi="zh-CN"/>
      </w:rPr>
    </w:lvl>
    <w:lvl w:ilvl="6" w:tentative="0">
      <w:start w:val="0"/>
      <w:numFmt w:val="bullet"/>
      <w:lvlText w:val="•"/>
      <w:lvlJc w:val="left"/>
      <w:pPr>
        <w:ind w:left="5719" w:hanging="242"/>
      </w:pPr>
      <w:rPr>
        <w:rFonts w:hint="default"/>
        <w:lang w:val="zh-CN" w:eastAsia="zh-CN" w:bidi="zh-CN"/>
      </w:rPr>
    </w:lvl>
    <w:lvl w:ilvl="7" w:tentative="0">
      <w:start w:val="0"/>
      <w:numFmt w:val="bullet"/>
      <w:lvlText w:val="•"/>
      <w:lvlJc w:val="left"/>
      <w:pPr>
        <w:ind w:left="6506" w:hanging="242"/>
      </w:pPr>
      <w:rPr>
        <w:rFonts w:hint="default"/>
        <w:lang w:val="zh-CN" w:eastAsia="zh-CN" w:bidi="zh-CN"/>
      </w:rPr>
    </w:lvl>
    <w:lvl w:ilvl="8" w:tentative="0">
      <w:start w:val="0"/>
      <w:numFmt w:val="bullet"/>
      <w:lvlText w:val="•"/>
      <w:lvlJc w:val="left"/>
      <w:pPr>
        <w:ind w:left="7293" w:hanging="242"/>
      </w:pPr>
      <w:rPr>
        <w:rFonts w:hint="default"/>
        <w:lang w:val="zh-CN" w:eastAsia="zh-CN" w:bidi="zh-CN"/>
      </w:rPr>
    </w:lvl>
  </w:abstractNum>
  <w:abstractNum w:abstractNumId="1">
    <w:nsid w:val="6B4DA41F"/>
    <w:multiLevelType w:val="singleLevel"/>
    <w:tmpl w:val="6B4DA41F"/>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3B"/>
    <w:rsid w:val="00004B0D"/>
    <w:rsid w:val="00021296"/>
    <w:rsid w:val="000D044A"/>
    <w:rsid w:val="001E2B37"/>
    <w:rsid w:val="0033299B"/>
    <w:rsid w:val="003815D5"/>
    <w:rsid w:val="00386C2E"/>
    <w:rsid w:val="003E03F1"/>
    <w:rsid w:val="00431E2D"/>
    <w:rsid w:val="004D30DC"/>
    <w:rsid w:val="005D3B03"/>
    <w:rsid w:val="006262C8"/>
    <w:rsid w:val="006A11CF"/>
    <w:rsid w:val="006A703B"/>
    <w:rsid w:val="006B6F7E"/>
    <w:rsid w:val="006C2FBB"/>
    <w:rsid w:val="006D29DA"/>
    <w:rsid w:val="00707D45"/>
    <w:rsid w:val="007451E0"/>
    <w:rsid w:val="007E64B7"/>
    <w:rsid w:val="00805797"/>
    <w:rsid w:val="00896E61"/>
    <w:rsid w:val="008974AB"/>
    <w:rsid w:val="008D1A17"/>
    <w:rsid w:val="009537A3"/>
    <w:rsid w:val="009A3B94"/>
    <w:rsid w:val="009D0E35"/>
    <w:rsid w:val="009D3BC4"/>
    <w:rsid w:val="00A90B3B"/>
    <w:rsid w:val="00AA0F05"/>
    <w:rsid w:val="00AB5484"/>
    <w:rsid w:val="00B84FF3"/>
    <w:rsid w:val="00C14BAD"/>
    <w:rsid w:val="00C7539A"/>
    <w:rsid w:val="00CF037A"/>
    <w:rsid w:val="00CF311A"/>
    <w:rsid w:val="00CF59F3"/>
    <w:rsid w:val="00DA2E91"/>
    <w:rsid w:val="00DA6ECC"/>
    <w:rsid w:val="00DE36F3"/>
    <w:rsid w:val="00E95CE1"/>
    <w:rsid w:val="00EC1ACE"/>
    <w:rsid w:val="00F14658"/>
    <w:rsid w:val="00F376AD"/>
    <w:rsid w:val="00F43D34"/>
    <w:rsid w:val="00FE1C5C"/>
    <w:rsid w:val="00FF396F"/>
    <w:rsid w:val="01337F45"/>
    <w:rsid w:val="01F14B34"/>
    <w:rsid w:val="01F41605"/>
    <w:rsid w:val="021F1ABF"/>
    <w:rsid w:val="024E624D"/>
    <w:rsid w:val="02577A09"/>
    <w:rsid w:val="02624806"/>
    <w:rsid w:val="02B334D1"/>
    <w:rsid w:val="02C57DB9"/>
    <w:rsid w:val="03322F5D"/>
    <w:rsid w:val="03C239EA"/>
    <w:rsid w:val="03C401D1"/>
    <w:rsid w:val="04167040"/>
    <w:rsid w:val="04AE462F"/>
    <w:rsid w:val="05185821"/>
    <w:rsid w:val="053C2AC9"/>
    <w:rsid w:val="0564371C"/>
    <w:rsid w:val="05EC7056"/>
    <w:rsid w:val="060544A0"/>
    <w:rsid w:val="061F0ADC"/>
    <w:rsid w:val="06203CA4"/>
    <w:rsid w:val="065C428E"/>
    <w:rsid w:val="0685357F"/>
    <w:rsid w:val="06A04C1E"/>
    <w:rsid w:val="06A35104"/>
    <w:rsid w:val="077B759A"/>
    <w:rsid w:val="07801E13"/>
    <w:rsid w:val="079B3202"/>
    <w:rsid w:val="07A531A2"/>
    <w:rsid w:val="07CA58C0"/>
    <w:rsid w:val="07D824A1"/>
    <w:rsid w:val="07DA4278"/>
    <w:rsid w:val="07FF010C"/>
    <w:rsid w:val="080A4DF3"/>
    <w:rsid w:val="08187E22"/>
    <w:rsid w:val="08424EB4"/>
    <w:rsid w:val="08792B1C"/>
    <w:rsid w:val="08831F6C"/>
    <w:rsid w:val="08EB1FF9"/>
    <w:rsid w:val="09032B6F"/>
    <w:rsid w:val="091A5A09"/>
    <w:rsid w:val="094E261D"/>
    <w:rsid w:val="096915D7"/>
    <w:rsid w:val="097D3E7B"/>
    <w:rsid w:val="0997119A"/>
    <w:rsid w:val="09B16D78"/>
    <w:rsid w:val="09CD586E"/>
    <w:rsid w:val="09F50549"/>
    <w:rsid w:val="0A25208D"/>
    <w:rsid w:val="0A8C1FD9"/>
    <w:rsid w:val="0B226A8A"/>
    <w:rsid w:val="0B6364CE"/>
    <w:rsid w:val="0B9462CE"/>
    <w:rsid w:val="0BCA4264"/>
    <w:rsid w:val="0C040EB7"/>
    <w:rsid w:val="0C211FF6"/>
    <w:rsid w:val="0CC61649"/>
    <w:rsid w:val="0D352876"/>
    <w:rsid w:val="0D46364D"/>
    <w:rsid w:val="0D6F7445"/>
    <w:rsid w:val="0DD82F15"/>
    <w:rsid w:val="0DD871DD"/>
    <w:rsid w:val="0E006102"/>
    <w:rsid w:val="0E0B7A64"/>
    <w:rsid w:val="0E155D8F"/>
    <w:rsid w:val="0E1A6A70"/>
    <w:rsid w:val="0E1B11B7"/>
    <w:rsid w:val="0E572E2C"/>
    <w:rsid w:val="0E5F4576"/>
    <w:rsid w:val="0E70551A"/>
    <w:rsid w:val="0E79593B"/>
    <w:rsid w:val="0E856BBB"/>
    <w:rsid w:val="0E965BB7"/>
    <w:rsid w:val="0EAF5098"/>
    <w:rsid w:val="0EBC457B"/>
    <w:rsid w:val="0ECB30C4"/>
    <w:rsid w:val="0ECE7A3D"/>
    <w:rsid w:val="0EE37DEB"/>
    <w:rsid w:val="0EFC2274"/>
    <w:rsid w:val="0F432F41"/>
    <w:rsid w:val="0FC7530D"/>
    <w:rsid w:val="0FD23695"/>
    <w:rsid w:val="0FD6083E"/>
    <w:rsid w:val="0FF30304"/>
    <w:rsid w:val="0FF84210"/>
    <w:rsid w:val="105F56AA"/>
    <w:rsid w:val="1070102D"/>
    <w:rsid w:val="10B13CAB"/>
    <w:rsid w:val="10C44646"/>
    <w:rsid w:val="10DC5F51"/>
    <w:rsid w:val="111662CB"/>
    <w:rsid w:val="116763B5"/>
    <w:rsid w:val="11B07E78"/>
    <w:rsid w:val="11FB46CB"/>
    <w:rsid w:val="12815C33"/>
    <w:rsid w:val="13253A35"/>
    <w:rsid w:val="133D763F"/>
    <w:rsid w:val="13D66B6A"/>
    <w:rsid w:val="13DF5862"/>
    <w:rsid w:val="13E0751B"/>
    <w:rsid w:val="13E35B6D"/>
    <w:rsid w:val="13FB646C"/>
    <w:rsid w:val="141A1D0C"/>
    <w:rsid w:val="14970CB6"/>
    <w:rsid w:val="149E1E45"/>
    <w:rsid w:val="151C3BD7"/>
    <w:rsid w:val="15451B28"/>
    <w:rsid w:val="157B515C"/>
    <w:rsid w:val="163C5F48"/>
    <w:rsid w:val="1652196F"/>
    <w:rsid w:val="16E32BE9"/>
    <w:rsid w:val="17125A48"/>
    <w:rsid w:val="17507313"/>
    <w:rsid w:val="175D521E"/>
    <w:rsid w:val="18187E89"/>
    <w:rsid w:val="182D0CF2"/>
    <w:rsid w:val="18380546"/>
    <w:rsid w:val="183D2F78"/>
    <w:rsid w:val="18CB547C"/>
    <w:rsid w:val="18D105E3"/>
    <w:rsid w:val="18DE0E97"/>
    <w:rsid w:val="18E778B1"/>
    <w:rsid w:val="19466440"/>
    <w:rsid w:val="194F6154"/>
    <w:rsid w:val="1950543B"/>
    <w:rsid w:val="195761EB"/>
    <w:rsid w:val="19592ED1"/>
    <w:rsid w:val="19812201"/>
    <w:rsid w:val="198E248F"/>
    <w:rsid w:val="19D30797"/>
    <w:rsid w:val="19D635A0"/>
    <w:rsid w:val="19FE7C73"/>
    <w:rsid w:val="1A0D646B"/>
    <w:rsid w:val="1A816F45"/>
    <w:rsid w:val="1A911C60"/>
    <w:rsid w:val="1AA22F78"/>
    <w:rsid w:val="1AF05912"/>
    <w:rsid w:val="1B0A4D74"/>
    <w:rsid w:val="1B0B5E95"/>
    <w:rsid w:val="1B477E6C"/>
    <w:rsid w:val="1B50504A"/>
    <w:rsid w:val="1B660F3E"/>
    <w:rsid w:val="1B816B42"/>
    <w:rsid w:val="1BFD1903"/>
    <w:rsid w:val="1C147B74"/>
    <w:rsid w:val="1C3E3D9F"/>
    <w:rsid w:val="1C417AED"/>
    <w:rsid w:val="1C902BE2"/>
    <w:rsid w:val="1CA12363"/>
    <w:rsid w:val="1CAF033E"/>
    <w:rsid w:val="1CEC7CC7"/>
    <w:rsid w:val="1D554414"/>
    <w:rsid w:val="1D560AEB"/>
    <w:rsid w:val="1D6F2E63"/>
    <w:rsid w:val="1DA2494C"/>
    <w:rsid w:val="1E113006"/>
    <w:rsid w:val="1E7640DC"/>
    <w:rsid w:val="1ECB22C4"/>
    <w:rsid w:val="1ED62EE8"/>
    <w:rsid w:val="1EEE1E5B"/>
    <w:rsid w:val="1F2104FC"/>
    <w:rsid w:val="1F323F1D"/>
    <w:rsid w:val="1F48355E"/>
    <w:rsid w:val="1F6C7C13"/>
    <w:rsid w:val="1F8C1AD7"/>
    <w:rsid w:val="1FCE0D93"/>
    <w:rsid w:val="1FD878C3"/>
    <w:rsid w:val="1FEC5403"/>
    <w:rsid w:val="204C4282"/>
    <w:rsid w:val="206D47D6"/>
    <w:rsid w:val="20B93119"/>
    <w:rsid w:val="212A3601"/>
    <w:rsid w:val="212A5230"/>
    <w:rsid w:val="212F55CF"/>
    <w:rsid w:val="2147601C"/>
    <w:rsid w:val="21BE203E"/>
    <w:rsid w:val="222C1AAD"/>
    <w:rsid w:val="228E4244"/>
    <w:rsid w:val="2290476E"/>
    <w:rsid w:val="22D60871"/>
    <w:rsid w:val="24081C02"/>
    <w:rsid w:val="240F137F"/>
    <w:rsid w:val="24423FDC"/>
    <w:rsid w:val="24614665"/>
    <w:rsid w:val="248C4145"/>
    <w:rsid w:val="24D41D32"/>
    <w:rsid w:val="25292921"/>
    <w:rsid w:val="253C1C50"/>
    <w:rsid w:val="25935F24"/>
    <w:rsid w:val="25996D9F"/>
    <w:rsid w:val="25C61287"/>
    <w:rsid w:val="25CE5FC0"/>
    <w:rsid w:val="265571F1"/>
    <w:rsid w:val="26E57DC6"/>
    <w:rsid w:val="26E92BA8"/>
    <w:rsid w:val="26F57A94"/>
    <w:rsid w:val="271E4F8D"/>
    <w:rsid w:val="273A7CCC"/>
    <w:rsid w:val="27520808"/>
    <w:rsid w:val="276B2D62"/>
    <w:rsid w:val="27CD35EE"/>
    <w:rsid w:val="280D21C0"/>
    <w:rsid w:val="28725824"/>
    <w:rsid w:val="28A3096F"/>
    <w:rsid w:val="28BD252C"/>
    <w:rsid w:val="28C66CE1"/>
    <w:rsid w:val="28C810C7"/>
    <w:rsid w:val="28E412EC"/>
    <w:rsid w:val="28F3548C"/>
    <w:rsid w:val="29130AC0"/>
    <w:rsid w:val="29A74CA9"/>
    <w:rsid w:val="29C911DB"/>
    <w:rsid w:val="29D930C7"/>
    <w:rsid w:val="29F4381E"/>
    <w:rsid w:val="2A221B46"/>
    <w:rsid w:val="2A3C0631"/>
    <w:rsid w:val="2AC3525E"/>
    <w:rsid w:val="2AFE1392"/>
    <w:rsid w:val="2B4C2FC1"/>
    <w:rsid w:val="2BA67400"/>
    <w:rsid w:val="2C4700DD"/>
    <w:rsid w:val="2C685B2F"/>
    <w:rsid w:val="2C693C3A"/>
    <w:rsid w:val="2C7060F8"/>
    <w:rsid w:val="2CEF4A85"/>
    <w:rsid w:val="2CFB00E3"/>
    <w:rsid w:val="2D16770F"/>
    <w:rsid w:val="2D221A7D"/>
    <w:rsid w:val="2DD83E5E"/>
    <w:rsid w:val="2E30500D"/>
    <w:rsid w:val="2E4E6BC3"/>
    <w:rsid w:val="2F516F80"/>
    <w:rsid w:val="2F840609"/>
    <w:rsid w:val="2FA82BB6"/>
    <w:rsid w:val="2FCC3453"/>
    <w:rsid w:val="2FD313C0"/>
    <w:rsid w:val="2FD35DB4"/>
    <w:rsid w:val="301D6826"/>
    <w:rsid w:val="306C4C79"/>
    <w:rsid w:val="30873499"/>
    <w:rsid w:val="309415CC"/>
    <w:rsid w:val="30C77ED5"/>
    <w:rsid w:val="30D36080"/>
    <w:rsid w:val="312C455D"/>
    <w:rsid w:val="313C2906"/>
    <w:rsid w:val="31492661"/>
    <w:rsid w:val="31500C46"/>
    <w:rsid w:val="31616936"/>
    <w:rsid w:val="316B45E8"/>
    <w:rsid w:val="31E27A09"/>
    <w:rsid w:val="31FD3067"/>
    <w:rsid w:val="31FD686D"/>
    <w:rsid w:val="320F1351"/>
    <w:rsid w:val="328A58A4"/>
    <w:rsid w:val="32A25451"/>
    <w:rsid w:val="334A5EF3"/>
    <w:rsid w:val="336B1A18"/>
    <w:rsid w:val="33BE56F5"/>
    <w:rsid w:val="33C35A29"/>
    <w:rsid w:val="33DB765D"/>
    <w:rsid w:val="33ED76F6"/>
    <w:rsid w:val="346C642E"/>
    <w:rsid w:val="34AE4B2C"/>
    <w:rsid w:val="351B637D"/>
    <w:rsid w:val="358C7CB2"/>
    <w:rsid w:val="359E50B5"/>
    <w:rsid w:val="35C443DA"/>
    <w:rsid w:val="35CC3CA6"/>
    <w:rsid w:val="35E01162"/>
    <w:rsid w:val="35EC2F0E"/>
    <w:rsid w:val="35F7502C"/>
    <w:rsid w:val="35F91C53"/>
    <w:rsid w:val="368E763D"/>
    <w:rsid w:val="369065B2"/>
    <w:rsid w:val="36C62AD1"/>
    <w:rsid w:val="371F6347"/>
    <w:rsid w:val="37601151"/>
    <w:rsid w:val="3787231E"/>
    <w:rsid w:val="37A145A3"/>
    <w:rsid w:val="37CB2F70"/>
    <w:rsid w:val="385939EA"/>
    <w:rsid w:val="387A539F"/>
    <w:rsid w:val="38C44467"/>
    <w:rsid w:val="391417CA"/>
    <w:rsid w:val="393B6A5A"/>
    <w:rsid w:val="394C439A"/>
    <w:rsid w:val="395922F2"/>
    <w:rsid w:val="395E6A17"/>
    <w:rsid w:val="399B77CB"/>
    <w:rsid w:val="39A01E99"/>
    <w:rsid w:val="39AF7649"/>
    <w:rsid w:val="39B92175"/>
    <w:rsid w:val="3A286EFB"/>
    <w:rsid w:val="3A5A2329"/>
    <w:rsid w:val="3AE814DB"/>
    <w:rsid w:val="3B086DD0"/>
    <w:rsid w:val="3B2E53F5"/>
    <w:rsid w:val="3B7C5DFB"/>
    <w:rsid w:val="3B8A5D05"/>
    <w:rsid w:val="3B8D09A5"/>
    <w:rsid w:val="3C5806CF"/>
    <w:rsid w:val="3C6E1A6D"/>
    <w:rsid w:val="3CE50D12"/>
    <w:rsid w:val="3D047B63"/>
    <w:rsid w:val="3D0C41A0"/>
    <w:rsid w:val="3D4557F3"/>
    <w:rsid w:val="3DAA31FF"/>
    <w:rsid w:val="3DC94B5D"/>
    <w:rsid w:val="3E18166D"/>
    <w:rsid w:val="3E194476"/>
    <w:rsid w:val="3EA51419"/>
    <w:rsid w:val="3EB22B4A"/>
    <w:rsid w:val="3F582A07"/>
    <w:rsid w:val="3FBE2DEC"/>
    <w:rsid w:val="400A46D8"/>
    <w:rsid w:val="405A16C9"/>
    <w:rsid w:val="40A43C11"/>
    <w:rsid w:val="40D0423D"/>
    <w:rsid w:val="40D66975"/>
    <w:rsid w:val="40FF7966"/>
    <w:rsid w:val="41225006"/>
    <w:rsid w:val="413E0C9D"/>
    <w:rsid w:val="414E5877"/>
    <w:rsid w:val="41C75A8B"/>
    <w:rsid w:val="42196822"/>
    <w:rsid w:val="42445416"/>
    <w:rsid w:val="425D1FEF"/>
    <w:rsid w:val="42AC4EB5"/>
    <w:rsid w:val="43461AD6"/>
    <w:rsid w:val="436A15AD"/>
    <w:rsid w:val="437C30EB"/>
    <w:rsid w:val="437E4A28"/>
    <w:rsid w:val="4436603E"/>
    <w:rsid w:val="44641F8A"/>
    <w:rsid w:val="44654289"/>
    <w:rsid w:val="446645C6"/>
    <w:rsid w:val="447343C5"/>
    <w:rsid w:val="448B1C64"/>
    <w:rsid w:val="449D3908"/>
    <w:rsid w:val="44CC2657"/>
    <w:rsid w:val="44FA07BB"/>
    <w:rsid w:val="45193AE8"/>
    <w:rsid w:val="45295F70"/>
    <w:rsid w:val="453E03DC"/>
    <w:rsid w:val="457752CB"/>
    <w:rsid w:val="45B10387"/>
    <w:rsid w:val="45C44B91"/>
    <w:rsid w:val="46161A48"/>
    <w:rsid w:val="461D01E1"/>
    <w:rsid w:val="46814CDF"/>
    <w:rsid w:val="46D45C9C"/>
    <w:rsid w:val="47016B08"/>
    <w:rsid w:val="4705261C"/>
    <w:rsid w:val="4712488F"/>
    <w:rsid w:val="47345948"/>
    <w:rsid w:val="473600D7"/>
    <w:rsid w:val="478B7DF2"/>
    <w:rsid w:val="484E0846"/>
    <w:rsid w:val="48F40BB9"/>
    <w:rsid w:val="49083A63"/>
    <w:rsid w:val="49243536"/>
    <w:rsid w:val="493427A8"/>
    <w:rsid w:val="497869C2"/>
    <w:rsid w:val="499F3A66"/>
    <w:rsid w:val="49A07B1B"/>
    <w:rsid w:val="49CA19D2"/>
    <w:rsid w:val="4A077673"/>
    <w:rsid w:val="4A2645AB"/>
    <w:rsid w:val="4A453F20"/>
    <w:rsid w:val="4A6C5469"/>
    <w:rsid w:val="4AA1658E"/>
    <w:rsid w:val="4B0F3D08"/>
    <w:rsid w:val="4B1A4D23"/>
    <w:rsid w:val="4B5F2C34"/>
    <w:rsid w:val="4B731A6D"/>
    <w:rsid w:val="4B8E0CBD"/>
    <w:rsid w:val="4B911DE6"/>
    <w:rsid w:val="4BC959F9"/>
    <w:rsid w:val="4BD577B9"/>
    <w:rsid w:val="4BD80E53"/>
    <w:rsid w:val="4C232E1F"/>
    <w:rsid w:val="4C3129B6"/>
    <w:rsid w:val="4C9C2317"/>
    <w:rsid w:val="4CAF1D51"/>
    <w:rsid w:val="4CBD2126"/>
    <w:rsid w:val="4CD7037A"/>
    <w:rsid w:val="4CE909C1"/>
    <w:rsid w:val="4D06709E"/>
    <w:rsid w:val="4D0673A3"/>
    <w:rsid w:val="4D0A5BB3"/>
    <w:rsid w:val="4DDD73F7"/>
    <w:rsid w:val="4DF26DA7"/>
    <w:rsid w:val="4E0654C3"/>
    <w:rsid w:val="4E3849FE"/>
    <w:rsid w:val="4E631A99"/>
    <w:rsid w:val="4E7660F9"/>
    <w:rsid w:val="4E7B4E6F"/>
    <w:rsid w:val="4F0B60E0"/>
    <w:rsid w:val="4FB32906"/>
    <w:rsid w:val="4FF74898"/>
    <w:rsid w:val="50043B7D"/>
    <w:rsid w:val="50B8307F"/>
    <w:rsid w:val="50ED6B5C"/>
    <w:rsid w:val="50F946B1"/>
    <w:rsid w:val="519166AF"/>
    <w:rsid w:val="51984735"/>
    <w:rsid w:val="51A2099C"/>
    <w:rsid w:val="51FA38E5"/>
    <w:rsid w:val="5226142E"/>
    <w:rsid w:val="52363683"/>
    <w:rsid w:val="523B3165"/>
    <w:rsid w:val="52491158"/>
    <w:rsid w:val="524F010E"/>
    <w:rsid w:val="52C22382"/>
    <w:rsid w:val="52CA4AA9"/>
    <w:rsid w:val="52E267A2"/>
    <w:rsid w:val="5344202C"/>
    <w:rsid w:val="53B067F3"/>
    <w:rsid w:val="53F95CAE"/>
    <w:rsid w:val="544D0A50"/>
    <w:rsid w:val="54803278"/>
    <w:rsid w:val="54896B84"/>
    <w:rsid w:val="54A13FB9"/>
    <w:rsid w:val="54AB6E42"/>
    <w:rsid w:val="554B6241"/>
    <w:rsid w:val="55904EA3"/>
    <w:rsid w:val="55A57653"/>
    <w:rsid w:val="55B82203"/>
    <w:rsid w:val="55EF0FC1"/>
    <w:rsid w:val="562F001F"/>
    <w:rsid w:val="56644B50"/>
    <w:rsid w:val="566D576B"/>
    <w:rsid w:val="568C254D"/>
    <w:rsid w:val="57547126"/>
    <w:rsid w:val="577172AB"/>
    <w:rsid w:val="57A1223B"/>
    <w:rsid w:val="57A34F1A"/>
    <w:rsid w:val="57AC3D2D"/>
    <w:rsid w:val="57D11BEE"/>
    <w:rsid w:val="57F16162"/>
    <w:rsid w:val="57F165C4"/>
    <w:rsid w:val="57FD03C4"/>
    <w:rsid w:val="58234103"/>
    <w:rsid w:val="58347B92"/>
    <w:rsid w:val="58630F30"/>
    <w:rsid w:val="58BC05F8"/>
    <w:rsid w:val="58F267B2"/>
    <w:rsid w:val="591244D0"/>
    <w:rsid w:val="591A2415"/>
    <w:rsid w:val="59367B07"/>
    <w:rsid w:val="59437D15"/>
    <w:rsid w:val="595607B4"/>
    <w:rsid w:val="59BA7ECB"/>
    <w:rsid w:val="59C70A92"/>
    <w:rsid w:val="59CC2EBB"/>
    <w:rsid w:val="59EF2EAA"/>
    <w:rsid w:val="5A9F106A"/>
    <w:rsid w:val="5AF674AB"/>
    <w:rsid w:val="5B0B4075"/>
    <w:rsid w:val="5B5D333F"/>
    <w:rsid w:val="5BC272D8"/>
    <w:rsid w:val="5BE94D33"/>
    <w:rsid w:val="5C2B7CD8"/>
    <w:rsid w:val="5C307927"/>
    <w:rsid w:val="5C3B5B5D"/>
    <w:rsid w:val="5D513131"/>
    <w:rsid w:val="5D56301D"/>
    <w:rsid w:val="5DAE1844"/>
    <w:rsid w:val="5DC132CC"/>
    <w:rsid w:val="5DE20D40"/>
    <w:rsid w:val="5DF73753"/>
    <w:rsid w:val="5E126DB5"/>
    <w:rsid w:val="5E195108"/>
    <w:rsid w:val="5E274605"/>
    <w:rsid w:val="5EA8155F"/>
    <w:rsid w:val="5EA85FF6"/>
    <w:rsid w:val="5EC47F8D"/>
    <w:rsid w:val="5ED62FEE"/>
    <w:rsid w:val="5EF90F8F"/>
    <w:rsid w:val="5EFC1AA8"/>
    <w:rsid w:val="5F3A1EC2"/>
    <w:rsid w:val="5FAA0043"/>
    <w:rsid w:val="5FAE1678"/>
    <w:rsid w:val="6008398F"/>
    <w:rsid w:val="607712A0"/>
    <w:rsid w:val="6091388A"/>
    <w:rsid w:val="60B316DB"/>
    <w:rsid w:val="60C605B0"/>
    <w:rsid w:val="61113DDA"/>
    <w:rsid w:val="611D274D"/>
    <w:rsid w:val="6120513A"/>
    <w:rsid w:val="613033BD"/>
    <w:rsid w:val="61866E30"/>
    <w:rsid w:val="61895FD8"/>
    <w:rsid w:val="61C251EB"/>
    <w:rsid w:val="61CC27F7"/>
    <w:rsid w:val="626C22AB"/>
    <w:rsid w:val="627A3062"/>
    <w:rsid w:val="62C018B4"/>
    <w:rsid w:val="630E6882"/>
    <w:rsid w:val="633D6276"/>
    <w:rsid w:val="63613880"/>
    <w:rsid w:val="638B6CA2"/>
    <w:rsid w:val="63A66B85"/>
    <w:rsid w:val="63B53E46"/>
    <w:rsid w:val="63EA6841"/>
    <w:rsid w:val="64064BA6"/>
    <w:rsid w:val="64197026"/>
    <w:rsid w:val="64891DE6"/>
    <w:rsid w:val="64AB592A"/>
    <w:rsid w:val="652A0288"/>
    <w:rsid w:val="663873B1"/>
    <w:rsid w:val="66CB0936"/>
    <w:rsid w:val="67602483"/>
    <w:rsid w:val="676F6BF9"/>
    <w:rsid w:val="67702BD0"/>
    <w:rsid w:val="6785184F"/>
    <w:rsid w:val="67884686"/>
    <w:rsid w:val="67EF1383"/>
    <w:rsid w:val="683A1273"/>
    <w:rsid w:val="68CE47AD"/>
    <w:rsid w:val="696B2902"/>
    <w:rsid w:val="69737DE2"/>
    <w:rsid w:val="697E7172"/>
    <w:rsid w:val="69926B41"/>
    <w:rsid w:val="69943D93"/>
    <w:rsid w:val="69EF329E"/>
    <w:rsid w:val="6A2040D9"/>
    <w:rsid w:val="6A9D6F4C"/>
    <w:rsid w:val="6AC27A59"/>
    <w:rsid w:val="6AC5541A"/>
    <w:rsid w:val="6AC94DE1"/>
    <w:rsid w:val="6B2C282C"/>
    <w:rsid w:val="6B303667"/>
    <w:rsid w:val="6B99320B"/>
    <w:rsid w:val="6BC845C8"/>
    <w:rsid w:val="6BE80ABA"/>
    <w:rsid w:val="6BEF449A"/>
    <w:rsid w:val="6C0152C5"/>
    <w:rsid w:val="6C5B642D"/>
    <w:rsid w:val="6C745339"/>
    <w:rsid w:val="6C8B2590"/>
    <w:rsid w:val="6D1D4E3F"/>
    <w:rsid w:val="6D6B3826"/>
    <w:rsid w:val="6D7E3DE0"/>
    <w:rsid w:val="6E59273A"/>
    <w:rsid w:val="6E7210DF"/>
    <w:rsid w:val="6E854D2C"/>
    <w:rsid w:val="6F0C0517"/>
    <w:rsid w:val="6FEA6FFA"/>
    <w:rsid w:val="6FF913C6"/>
    <w:rsid w:val="70076D1C"/>
    <w:rsid w:val="70974E8B"/>
    <w:rsid w:val="71513086"/>
    <w:rsid w:val="719231D2"/>
    <w:rsid w:val="71E97745"/>
    <w:rsid w:val="721E44F6"/>
    <w:rsid w:val="724C1F95"/>
    <w:rsid w:val="729913BE"/>
    <w:rsid w:val="72EA10EF"/>
    <w:rsid w:val="73033C3C"/>
    <w:rsid w:val="732B440B"/>
    <w:rsid w:val="736F20F6"/>
    <w:rsid w:val="73A51E57"/>
    <w:rsid w:val="743B2319"/>
    <w:rsid w:val="744C14B1"/>
    <w:rsid w:val="74C9740D"/>
    <w:rsid w:val="74E573D9"/>
    <w:rsid w:val="74FC2807"/>
    <w:rsid w:val="75346AF6"/>
    <w:rsid w:val="753900E5"/>
    <w:rsid w:val="75481E8C"/>
    <w:rsid w:val="760315FD"/>
    <w:rsid w:val="760418A7"/>
    <w:rsid w:val="76283103"/>
    <w:rsid w:val="76406FE2"/>
    <w:rsid w:val="76773D49"/>
    <w:rsid w:val="76914905"/>
    <w:rsid w:val="77054228"/>
    <w:rsid w:val="77AF3BB0"/>
    <w:rsid w:val="77FA566A"/>
    <w:rsid w:val="77FE13B5"/>
    <w:rsid w:val="78136FE7"/>
    <w:rsid w:val="784D383E"/>
    <w:rsid w:val="787A2092"/>
    <w:rsid w:val="78DD330F"/>
    <w:rsid w:val="79066DE1"/>
    <w:rsid w:val="792C7708"/>
    <w:rsid w:val="794333F4"/>
    <w:rsid w:val="798870CE"/>
    <w:rsid w:val="79DF68D1"/>
    <w:rsid w:val="7A7E7596"/>
    <w:rsid w:val="7AC45ED8"/>
    <w:rsid w:val="7ACE0E99"/>
    <w:rsid w:val="7ADF2165"/>
    <w:rsid w:val="7AF71E8C"/>
    <w:rsid w:val="7B5F4F19"/>
    <w:rsid w:val="7B8E5A5D"/>
    <w:rsid w:val="7B931E93"/>
    <w:rsid w:val="7B933C7D"/>
    <w:rsid w:val="7C406B86"/>
    <w:rsid w:val="7C743768"/>
    <w:rsid w:val="7CBE2C29"/>
    <w:rsid w:val="7CDA59BE"/>
    <w:rsid w:val="7CEA0211"/>
    <w:rsid w:val="7CEE34B8"/>
    <w:rsid w:val="7D217380"/>
    <w:rsid w:val="7E274797"/>
    <w:rsid w:val="7E3E735B"/>
    <w:rsid w:val="7E524405"/>
    <w:rsid w:val="7E785FB6"/>
    <w:rsid w:val="7E8A7887"/>
    <w:rsid w:val="7E9574FB"/>
    <w:rsid w:val="7ED066F2"/>
    <w:rsid w:val="7EEC423B"/>
    <w:rsid w:val="7EF55079"/>
    <w:rsid w:val="7F1D05E9"/>
    <w:rsid w:val="7FB633B8"/>
    <w:rsid w:val="7FC12EBD"/>
    <w:rsid w:val="7FC52527"/>
    <w:rsid w:val="7FEE1F54"/>
    <w:rsid w:val="7FF71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8"/>
      <w:szCs w:val="28"/>
      <w:lang w:val="en-US" w:eastAsia="zh-CN" w:bidi="ar-SA"/>
    </w:rPr>
  </w:style>
  <w:style w:type="paragraph" w:styleId="2">
    <w:name w:val="heading 1"/>
    <w:basedOn w:val="1"/>
    <w:next w:val="1"/>
    <w:qFormat/>
    <w:uiPriority w:val="1"/>
    <w:pPr>
      <w:ind w:left="300"/>
      <w:outlineLvl w:val="0"/>
    </w:pPr>
    <w:rPr>
      <w:rFonts w:ascii="Microsoft JhengHei" w:hAnsi="Microsoft JhengHei" w:eastAsia="Microsoft JhengHei" w:cs="Microsoft JhengHei"/>
      <w:b/>
      <w:bCs/>
      <w:lang w:val="zh-CN" w:bidi="zh-CN"/>
    </w:rPr>
  </w:style>
  <w:style w:type="paragraph" w:styleId="3">
    <w:name w:val="heading 2"/>
    <w:basedOn w:val="1"/>
    <w:next w:val="1"/>
    <w:link w:val="18"/>
    <w:qFormat/>
    <w:uiPriority w:val="0"/>
    <w:pPr>
      <w:keepNext/>
      <w:keepLines/>
      <w:spacing w:before="260" w:after="260" w:line="415"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rFonts w:ascii="仿宋" w:hAnsi="仿宋" w:eastAsia="仿宋" w:cs="仿宋"/>
      <w:sz w:val="32"/>
      <w:szCs w:val="32"/>
    </w:rPr>
  </w:style>
  <w:style w:type="paragraph" w:styleId="5">
    <w:name w:val="Date"/>
    <w:basedOn w:val="1"/>
    <w:next w:val="1"/>
    <w:link w:val="16"/>
    <w:semiHidden/>
    <w:unhideWhenUsed/>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Theme="minorHAnsi" w:hAnsiTheme="minorHAnsi"/>
      <w:b/>
      <w:bCs/>
      <w:kern w:val="28"/>
      <w:sz w:val="32"/>
      <w:szCs w:val="32"/>
    </w:rPr>
  </w:style>
  <w:style w:type="paragraph" w:styleId="9">
    <w:name w:val="Normal (Web)"/>
    <w:basedOn w:val="1"/>
    <w:qFormat/>
    <w:uiPriority w:val="99"/>
    <w:pPr>
      <w:widowControl/>
      <w:spacing w:before="100" w:beforeAutospacing="1" w:after="100" w:afterAutospacing="1"/>
      <w:jc w:val="left"/>
    </w:pPr>
    <w:rPr>
      <w:rFonts w:cs="宋体"/>
      <w:color w:val="000000"/>
      <w:kern w:val="0"/>
      <w:sz w:val="24"/>
      <w:szCs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3">
    <w:name w:val="Strong"/>
    <w:basedOn w:val="12"/>
    <w:qFormat/>
    <w:uiPriority w:val="22"/>
    <w:rPr>
      <w:b/>
    </w:rPr>
  </w:style>
  <w:style w:type="character" w:styleId="14">
    <w:name w:val="Emphasis"/>
    <w:basedOn w:val="12"/>
    <w:qFormat/>
    <w:uiPriority w:val="20"/>
    <w:rPr>
      <w:i/>
      <w:iCs/>
    </w:rPr>
  </w:style>
  <w:style w:type="character" w:styleId="15">
    <w:name w:val="Hyperlink"/>
    <w:basedOn w:val="12"/>
    <w:unhideWhenUsed/>
    <w:qFormat/>
    <w:uiPriority w:val="99"/>
    <w:rPr>
      <w:color w:val="0000FF" w:themeColor="hyperlink"/>
      <w:u w:val="single"/>
      <w14:textFill>
        <w14:solidFill>
          <w14:schemeClr w14:val="hlink"/>
        </w14:solidFill>
      </w14:textFill>
    </w:rPr>
  </w:style>
  <w:style w:type="character" w:customStyle="1" w:styleId="16">
    <w:name w:val="日期 字符"/>
    <w:basedOn w:val="12"/>
    <w:link w:val="5"/>
    <w:semiHidden/>
    <w:qFormat/>
    <w:uiPriority w:val="99"/>
  </w:style>
  <w:style w:type="paragraph" w:customStyle="1" w:styleId="17">
    <w:name w:val="p15"/>
    <w:basedOn w:val="1"/>
    <w:qFormat/>
    <w:uiPriority w:val="0"/>
    <w:pPr>
      <w:widowControl/>
    </w:pPr>
    <w:rPr>
      <w:kern w:val="0"/>
      <w:szCs w:val="21"/>
    </w:rPr>
  </w:style>
  <w:style w:type="character" w:customStyle="1" w:styleId="18">
    <w:name w:val="标题 2 字符"/>
    <w:basedOn w:val="12"/>
    <w:link w:val="3"/>
    <w:qFormat/>
    <w:uiPriority w:val="0"/>
    <w:rPr>
      <w:rFonts w:ascii="Arial" w:hAnsi="Arial" w:eastAsia="黑体"/>
      <w:b/>
      <w:sz w:val="32"/>
    </w:rPr>
  </w:style>
  <w:style w:type="paragraph" w:styleId="19">
    <w:name w:val="List Paragraph"/>
    <w:basedOn w:val="1"/>
    <w:qFormat/>
    <w:uiPriority w:val="34"/>
    <w:pPr>
      <w:ind w:firstLine="420" w:firstLineChars="200"/>
    </w:pPr>
  </w:style>
  <w:style w:type="character" w:customStyle="1" w:styleId="20">
    <w:name w:val="页眉 字符"/>
    <w:basedOn w:val="12"/>
    <w:link w:val="7"/>
    <w:qFormat/>
    <w:uiPriority w:val="99"/>
    <w:rPr>
      <w:rFonts w:ascii="宋体" w:hAnsi="宋体" w:cstheme="minorBidi"/>
      <w:kern w:val="2"/>
      <w:sz w:val="18"/>
      <w:szCs w:val="18"/>
    </w:rPr>
  </w:style>
  <w:style w:type="paragraph" w:customStyle="1" w:styleId="21">
    <w:name w:val="Table Paragraph"/>
    <w:basedOn w:val="1"/>
    <w:qFormat/>
    <w:uiPriority w:val="1"/>
    <w:pPr>
      <w:spacing w:before="11"/>
      <w:ind w:left="658" w:right="657"/>
      <w:jc w:val="center"/>
    </w:pPr>
    <w:rPr>
      <w:rFonts w:ascii="宋体" w:hAnsi="宋体" w:eastAsia="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488</Words>
  <Characters>2783</Characters>
  <Lines>23</Lines>
  <Paragraphs>6</Paragraphs>
  <TotalTime>9</TotalTime>
  <ScaleCrop>false</ScaleCrop>
  <LinksUpToDate>false</LinksUpToDate>
  <CharactersWithSpaces>3265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2021-01-20T03:05:00Z</dcterms:created>
  <dc:creator>acer</dc:creator>
  <cp:lastModifiedBy>之甚</cp:lastModifiedBy>
  <dcterms:modified xsi:type="dcterms:W3CDTF">2021-01-22T05:38:21Z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365319846_btnclosed</vt:lpwstr>
  </property>
</Properties>
</file>