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2F" w:rsidRDefault="004D432F">
      <w:pPr>
        <w:pStyle w:val="UserStyle2"/>
        <w:spacing w:before="156" w:line="800" w:lineRule="exact"/>
        <w:jc w:val="distribute"/>
        <w:rPr>
          <w:rStyle w:val="NormalCharacter"/>
          <w:rFonts w:ascii="方正大标宋简体" w:eastAsia="方正大标宋简体" w:hAnsi="方正大标宋简体" w:cs="方正大标宋简体"/>
          <w:bCs/>
          <w:color w:val="FF0000"/>
          <w:w w:val="90"/>
          <w:sz w:val="88"/>
          <w:szCs w:val="88"/>
        </w:rPr>
      </w:pPr>
    </w:p>
    <w:p w:rsidR="004D432F" w:rsidRDefault="002F3608">
      <w:pPr>
        <w:pStyle w:val="UserStyle2"/>
        <w:spacing w:before="156" w:line="800" w:lineRule="exact"/>
        <w:jc w:val="distribute"/>
        <w:rPr>
          <w:rStyle w:val="NormalCharacter"/>
          <w:rFonts w:ascii="方正大标宋简体" w:eastAsia="方正大标宋简体" w:hAnsi="方正大标宋简体" w:cs="方正大标宋简体"/>
          <w:bCs/>
          <w:color w:val="FF0000"/>
          <w:w w:val="90"/>
          <w:sz w:val="88"/>
          <w:szCs w:val="88"/>
        </w:rPr>
      </w:pPr>
      <w:r>
        <w:rPr>
          <w:rStyle w:val="NormalCharacter"/>
          <w:rFonts w:ascii="方正大标宋简体" w:eastAsia="方正大标宋简体" w:hAnsi="方正大标宋简体" w:cs="方正大标宋简体"/>
          <w:bCs/>
          <w:color w:val="FF0000"/>
          <w:w w:val="90"/>
          <w:sz w:val="88"/>
          <w:szCs w:val="88"/>
        </w:rPr>
        <w:t>四川省科教兴川促进会</w:t>
      </w:r>
    </w:p>
    <w:p w:rsidR="004D432F" w:rsidRDefault="002F3608">
      <w:pPr>
        <w:pStyle w:val="UserStyle2"/>
        <w:spacing w:before="156" w:line="800" w:lineRule="exact"/>
        <w:jc w:val="distribute"/>
        <w:rPr>
          <w:rStyle w:val="NormalCharacter"/>
          <w:rFonts w:ascii="方正大标宋简体" w:eastAsia="方正大标宋简体" w:hAnsi="方正大标宋简体" w:cs="方正大标宋简体"/>
          <w:bCs/>
          <w:color w:val="FF0000"/>
          <w:w w:val="90"/>
          <w:sz w:val="88"/>
          <w:szCs w:val="88"/>
        </w:rPr>
      </w:pPr>
      <w:r>
        <w:rPr>
          <w:rStyle w:val="NormalCharacter"/>
          <w:rFonts w:ascii="方正大标宋简体" w:eastAsia="方正大标宋简体" w:hAnsi="方正大标宋简体" w:cs="方正大标宋简体"/>
          <w:bCs/>
          <w:color w:val="FF0000"/>
          <w:w w:val="90"/>
          <w:sz w:val="88"/>
          <w:szCs w:val="88"/>
        </w:rPr>
        <w:t>学业规划专业委员会</w:t>
      </w:r>
    </w:p>
    <w:p w:rsidR="004D432F" w:rsidRDefault="004D432F">
      <w:pPr>
        <w:spacing w:line="800" w:lineRule="exact"/>
        <w:jc w:val="center"/>
        <w:rPr>
          <w:rStyle w:val="NormalCharacter"/>
          <w:rFonts w:ascii="方正小标宋简体" w:eastAsia="方正小标宋简体"/>
          <w:b/>
          <w:color w:val="000000"/>
          <w:sz w:val="44"/>
          <w:szCs w:val="44"/>
        </w:rPr>
      </w:pPr>
      <w:r w:rsidRPr="004D432F">
        <w:pict>
          <v:shape id="_x0000_s1031" style="position:absolute;left:0;text-align:left;margin-left:0;margin-top:0;width:50pt;height:50pt;z-index:251656192;visibility:hidden" coordsize="21600,21600" o:spt="100" adj="0,,0" path="">
            <v:stroke joinstyle="miter"/>
            <v:formulas/>
            <v:path o:connecttype="segments"/>
            <o:lock v:ext="edit" selection="t"/>
          </v:shape>
        </w:pict>
      </w:r>
      <w:r w:rsidRPr="004D432F">
        <w:pict>
          <v:line id="_x0000_s1028" style="position:absolute;left:0;text-align:left;z-index:251657216" from="-17.25pt,7.5pt" to="416.7pt,7.9pt#_x0000_t20" strokecolor="red" strokeweight="2.25pt"/>
        </w:pict>
      </w:r>
    </w:p>
    <w:p w:rsidR="004D432F" w:rsidRDefault="002F3608">
      <w:pPr>
        <w:spacing w:line="520" w:lineRule="exact"/>
        <w:jc w:val="center"/>
        <w:rPr>
          <w:rStyle w:val="NormalCharacter"/>
          <w:rFonts w:ascii="仿宋_GB2312" w:eastAsia="仿宋_GB2312" w:hAnsi="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kern w:val="0"/>
          <w:sz w:val="32"/>
          <w:szCs w:val="32"/>
        </w:rPr>
        <w:t xml:space="preserve">                            </w:t>
      </w:r>
      <w:r>
        <w:rPr>
          <w:rStyle w:val="NormalCharacter"/>
          <w:rFonts w:ascii="仿宋_GB2312" w:eastAsia="仿宋_GB2312" w:hAnsi="仿宋_GB2312"/>
          <w:kern w:val="0"/>
          <w:sz w:val="32"/>
          <w:szCs w:val="32"/>
        </w:rPr>
        <w:t>川科教学规函（</w:t>
      </w:r>
      <w:r>
        <w:rPr>
          <w:rStyle w:val="NormalCharacter"/>
          <w:rFonts w:ascii="仿宋_GB2312" w:eastAsia="仿宋_GB2312" w:hAnsi="仿宋_GB2312"/>
          <w:kern w:val="0"/>
          <w:sz w:val="32"/>
          <w:szCs w:val="32"/>
        </w:rPr>
        <w:t>2021</w:t>
      </w:r>
      <w:r>
        <w:rPr>
          <w:rStyle w:val="NormalCharacter"/>
          <w:rFonts w:ascii="仿宋_GB2312" w:eastAsia="仿宋_GB2312" w:hAnsi="仿宋_GB2312"/>
          <w:kern w:val="0"/>
          <w:sz w:val="32"/>
          <w:szCs w:val="32"/>
        </w:rPr>
        <w:t>）</w:t>
      </w:r>
      <w:r>
        <w:rPr>
          <w:rStyle w:val="NormalCharacter"/>
          <w:rFonts w:ascii="仿宋_GB2312" w:eastAsia="仿宋_GB2312" w:hAnsi="仿宋_GB2312"/>
          <w:kern w:val="0"/>
          <w:sz w:val="32"/>
          <w:szCs w:val="32"/>
        </w:rPr>
        <w:t>3</w:t>
      </w:r>
      <w:r>
        <w:rPr>
          <w:rStyle w:val="NormalCharacter"/>
          <w:rFonts w:ascii="仿宋_GB2312" w:eastAsia="仿宋_GB2312" w:hAnsi="仿宋_GB2312"/>
          <w:kern w:val="0"/>
          <w:sz w:val="32"/>
          <w:szCs w:val="32"/>
        </w:rPr>
        <w:t>号</w:t>
      </w:r>
    </w:p>
    <w:p w:rsidR="004D432F" w:rsidRDefault="004D432F">
      <w:pPr>
        <w:rPr>
          <w:rStyle w:val="NormalCharacter"/>
          <w:sz w:val="44"/>
        </w:rPr>
      </w:pPr>
    </w:p>
    <w:p w:rsidR="004D432F" w:rsidRDefault="002F3608">
      <w:pPr>
        <w:spacing w:line="700" w:lineRule="exact"/>
        <w:jc w:val="center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   </w:t>
      </w: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关于开展学业规划专题研究并编辑《学业规划论文集》的征文通知</w:t>
      </w:r>
    </w:p>
    <w:p w:rsidR="004D432F" w:rsidRDefault="004D432F">
      <w:pPr>
        <w:spacing w:line="600" w:lineRule="exact"/>
        <w:ind w:firstLineChars="200" w:firstLine="600"/>
        <w:rPr>
          <w:rStyle w:val="NormalCharacter"/>
          <w:rFonts w:ascii="仿宋_GB2312" w:eastAsia="仿宋_GB2312" w:hAnsi="仿宋_GB2312"/>
          <w:sz w:val="30"/>
          <w:szCs w:val="30"/>
        </w:rPr>
      </w:pP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本专业委员会成员单位、个人，各相关高校、中学及教育界人士、学业规划专家等：</w:t>
      </w:r>
    </w:p>
    <w:p w:rsidR="004D432F" w:rsidRDefault="002F3608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2021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年是中国共产党成立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100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周年，为隆重庆祝党的百岁华诞，专委会结合四川学业规划发展实际和新高考要求，决定将开展学业规划专题研究，编辑《学业规划论文集》（暂定名），作为四川省首届学业规划高峰论坛系列活动之一内容，向党的百岁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华诞献礼。现将有关事项通知如下：</w:t>
      </w:r>
    </w:p>
    <w:p w:rsidR="004D432F" w:rsidRDefault="002F3608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一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征文对象：本专业委员会成员单位、个人，各相关高校、中学及教育界人士、学业规划专家及社会人士。</w:t>
      </w:r>
    </w:p>
    <w:p w:rsidR="004D432F" w:rsidRDefault="002F3608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二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论文征稿时间：即日起至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4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月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30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日止。</w:t>
      </w:r>
    </w:p>
    <w:p w:rsidR="004D432F" w:rsidRDefault="002F3608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lastRenderedPageBreak/>
        <w:t>三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论文须原创，不得抄袭，文责自负。文稿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2000-5000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字为宜，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word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文档提交，发送至：</w:t>
      </w:r>
      <w:r>
        <w:rPr>
          <w:rStyle w:val="NormalCharacter"/>
          <w:rFonts w:ascii="仿宋_GB2312" w:eastAsia="仿宋_GB2312" w:hAnsi="仿宋_GB2312"/>
          <w:color w:val="000000"/>
          <w:sz w:val="32"/>
          <w:szCs w:val="32"/>
        </w:rPr>
        <w:t>849090419@qq.com</w:t>
      </w:r>
      <w:r>
        <w:rPr>
          <w:rStyle w:val="NormalCharacter"/>
          <w:rFonts w:ascii="仿宋_GB2312" w:eastAsia="仿宋_GB2312" w:hAnsi="仿宋_GB2312"/>
          <w:color w:val="000000"/>
          <w:sz w:val="32"/>
          <w:szCs w:val="32"/>
        </w:rPr>
        <w:t>，作者简介</w:t>
      </w:r>
      <w:r>
        <w:rPr>
          <w:rStyle w:val="NormalCharacter"/>
          <w:rFonts w:ascii="仿宋_GB2312" w:eastAsia="仿宋_GB2312" w:hAnsi="仿宋_GB2312"/>
          <w:color w:val="000000"/>
          <w:sz w:val="32"/>
          <w:szCs w:val="32"/>
        </w:rPr>
        <w:t>200</w:t>
      </w:r>
      <w:r>
        <w:rPr>
          <w:rStyle w:val="NormalCharacter"/>
          <w:rFonts w:ascii="仿宋_GB2312" w:eastAsia="仿宋_GB2312" w:hAnsi="仿宋_GB2312"/>
          <w:color w:val="000000"/>
          <w:sz w:val="32"/>
          <w:szCs w:val="32"/>
        </w:rPr>
        <w:t>字以内。</w:t>
      </w:r>
    </w:p>
    <w:p w:rsidR="004D432F" w:rsidRDefault="002F3608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四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征文经专委会组织专家审定后择优向核心期刊推荐发表，或汇集成《学业规划论文集》公开出版，并作为四川省首届学业规划高峰论坛系列活动资料，供与会代表每人一册。</w:t>
      </w:r>
    </w:p>
    <w:p w:rsidR="004D432F" w:rsidRDefault="002F3608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五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优秀论文作者，受邀在四川省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首届学业规划高峰论坛上作专题演讲。</w:t>
      </w:r>
    </w:p>
    <w:p w:rsidR="004D432F" w:rsidRDefault="002F3608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六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咨询电话</w:t>
      </w: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>028-66868660</w:t>
      </w: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>，</w:t>
      </w: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>15908170717</w:t>
      </w: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>；</w:t>
      </w: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>18980803618</w:t>
      </w:r>
    </w:p>
    <w:p w:rsidR="004D432F" w:rsidRDefault="004D432F">
      <w:pPr>
        <w:pStyle w:val="BodyTextIndent3"/>
        <w:spacing w:line="560" w:lineRule="exact"/>
        <w:ind w:firstLineChars="0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</w:p>
    <w:p w:rsidR="004D432F" w:rsidRDefault="004D432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32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8325"/>
        </w:tabs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4D432F" w:rsidRDefault="002F360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32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8325"/>
        </w:tabs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>附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件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1.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《学业规划论文集》研究课题方向</w:t>
      </w:r>
    </w:p>
    <w:p w:rsidR="004D432F" w:rsidRDefault="002F3608">
      <w:pPr>
        <w:pStyle w:val="BodyTextIndent3"/>
        <w:spacing w:line="560" w:lineRule="exact"/>
        <w:ind w:firstLineChars="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 xml:space="preserve">     </w:t>
      </w:r>
    </w:p>
    <w:p w:rsidR="004D432F" w:rsidRDefault="004D432F" w:rsidP="0004018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32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8325"/>
        </w:tabs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4D432F" w:rsidRDefault="004D432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32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8325"/>
        </w:tabs>
        <w:spacing w:line="560" w:lineRule="exact"/>
        <w:ind w:firstLineChars="846" w:firstLine="2707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4D432F" w:rsidRDefault="002F360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32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8325"/>
        </w:tabs>
        <w:spacing w:line="560" w:lineRule="exact"/>
        <w:ind w:firstLineChars="600" w:firstLine="192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四川省科教兴川促进会学业规划专业委员会</w:t>
      </w:r>
    </w:p>
    <w:p w:rsidR="004D432F" w:rsidRDefault="002F360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32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8325"/>
        </w:tabs>
        <w:spacing w:line="560" w:lineRule="exact"/>
        <w:ind w:firstLineChars="1200" w:firstLine="3840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2021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年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3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月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29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日</w:t>
      </w:r>
    </w:p>
    <w:p w:rsidR="004D432F" w:rsidRDefault="004D432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32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8325"/>
        </w:tabs>
        <w:spacing w:line="600" w:lineRule="exact"/>
        <w:ind w:firstLineChars="1745" w:firstLine="5235"/>
        <w:rPr>
          <w:rStyle w:val="NormalCharacter"/>
          <w:rFonts w:ascii="仿宋_GB2312" w:eastAsia="仿宋_GB2312" w:hAnsi="仿宋_GB2312"/>
          <w:sz w:val="30"/>
          <w:szCs w:val="30"/>
        </w:rPr>
      </w:pPr>
    </w:p>
    <w:p w:rsidR="004D432F" w:rsidRDefault="004D432F">
      <w:pPr>
        <w:spacing w:line="560" w:lineRule="exact"/>
        <w:ind w:firstLine="420"/>
        <w:rPr>
          <w:rStyle w:val="NormalCharacter"/>
          <w:rFonts w:ascii="仿宋_GB2312" w:eastAsia="仿宋_GB2312" w:hAnsi="仿宋_GB2312"/>
          <w:kern w:val="0"/>
          <w:sz w:val="32"/>
          <w:szCs w:val="32"/>
        </w:rPr>
      </w:pPr>
    </w:p>
    <w:p w:rsidR="004D432F" w:rsidRDefault="004D432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32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8325"/>
        </w:tabs>
        <w:spacing w:line="60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 w:rsidRPr="004D432F">
        <w:pict>
          <v:line id="_x0000_s1029" style="position:absolute;left:0;text-align:left;flip:y;z-index:251659264" from="-1.45pt,.5pt" to="424.5pt,1.35pt#_x0000_t20" strokeweight="1.5pt"/>
        </w:pict>
      </w:r>
      <w:r w:rsidR="002F3608">
        <w:rPr>
          <w:rStyle w:val="NormalCharacter"/>
          <w:rFonts w:ascii="仿宋_GB2312" w:eastAsia="仿宋_GB2312" w:hAnsi="仿宋_GB2312"/>
          <w:sz w:val="30"/>
          <w:szCs w:val="30"/>
        </w:rPr>
        <w:t>发：本专业委员会成员单位、个人，各相关高校、中学及教育界人士、学业规划专家等；</w:t>
      </w:r>
    </w:p>
    <w:p w:rsidR="004D432F" w:rsidRDefault="004D432F" w:rsidP="0004018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32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8325"/>
        </w:tabs>
        <w:spacing w:line="600" w:lineRule="exact"/>
        <w:ind w:firstLineChars="846" w:firstLine="1777"/>
        <w:rPr>
          <w:rStyle w:val="NormalCharacter"/>
          <w:rFonts w:ascii="仿宋_GB2312" w:eastAsia="仿宋_GB2312" w:hAnsi="仿宋_GB2312"/>
          <w:sz w:val="30"/>
          <w:szCs w:val="30"/>
        </w:rPr>
      </w:pPr>
      <w:r w:rsidRPr="004D432F">
        <w:pict>
          <v:line id="_x0000_s1030" style="position:absolute;left:0;text-align:left;flip:y;z-index:251658240" from="-2.2pt,2.75pt" to="424.45pt,4.2pt#_x0000_t20" strokeweight="1.5pt"/>
        </w:pict>
      </w:r>
      <w:r w:rsidR="002F3608">
        <w:rPr>
          <w:rStyle w:val="NormalCharacter"/>
          <w:rFonts w:ascii="仿宋_GB2312" w:eastAsia="仿宋_GB2312" w:hAnsi="仿宋_GB2312"/>
          <w:sz w:val="30"/>
          <w:szCs w:val="30"/>
        </w:rPr>
        <w:t xml:space="preserve">                           </w:t>
      </w:r>
      <w:r w:rsidR="002F3608">
        <w:rPr>
          <w:rStyle w:val="NormalCharacter"/>
          <w:rFonts w:ascii="仿宋_GB2312" w:eastAsia="仿宋_GB2312" w:hAnsi="仿宋_GB2312"/>
          <w:sz w:val="30"/>
          <w:szCs w:val="30"/>
        </w:rPr>
        <w:t>共印</w:t>
      </w:r>
      <w:r w:rsidR="002F3608">
        <w:rPr>
          <w:rStyle w:val="NormalCharacter"/>
          <w:rFonts w:ascii="仿宋_GB2312" w:eastAsia="仿宋_GB2312" w:hAnsi="仿宋_GB2312"/>
          <w:sz w:val="30"/>
          <w:szCs w:val="30"/>
        </w:rPr>
        <w:t>50</w:t>
      </w:r>
      <w:r w:rsidR="002F3608">
        <w:rPr>
          <w:rStyle w:val="NormalCharacter"/>
          <w:rFonts w:ascii="仿宋_GB2312" w:eastAsia="仿宋_GB2312" w:hAnsi="仿宋_GB2312"/>
          <w:sz w:val="30"/>
          <w:szCs w:val="30"/>
        </w:rPr>
        <w:t>份</w:t>
      </w:r>
    </w:p>
    <w:p w:rsidR="004D432F" w:rsidRDefault="002F3608">
      <w:pPr>
        <w:spacing w:line="600" w:lineRule="exact"/>
        <w:jc w:val="lef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lastRenderedPageBreak/>
        <w:t>附件</w:t>
      </w:r>
      <w:r>
        <w:rPr>
          <w:rStyle w:val="NormalCharacter"/>
          <w:rFonts w:ascii="宋体" w:hAnsi="宋体"/>
          <w:sz w:val="28"/>
          <w:szCs w:val="28"/>
        </w:rPr>
        <w:t>1</w:t>
      </w:r>
    </w:p>
    <w:p w:rsidR="004D432F" w:rsidRDefault="002F3608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sz w:val="36"/>
          <w:szCs w:val="36"/>
        </w:rPr>
        <w:t>《学业规划论文集》研究课题方向</w:t>
      </w:r>
    </w:p>
    <w:p w:rsidR="004D432F" w:rsidRDefault="004D432F">
      <w:pPr>
        <w:spacing w:line="400" w:lineRule="exact"/>
        <w:ind w:firstLineChars="400" w:firstLine="1205"/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</w:pP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>环境与生涯：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生涯规划与学业规划的辩证关系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无边界学业规划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背景下个体与组织的生涯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多元学业背景下个体多元职务身份管理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 xml:space="preserve"> 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内卷化与学业开发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新技术与学业开发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多元化与学业开发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“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十四五规划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”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产教融合大趋势下大学生学业规划与生涯导向研究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国家职业教育深度发展背景下，基础教育如何与生涯发展紧密接轨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社会环境的宏观视角如何影响个体生涯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影视传媒对于个体生涯发展的影响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生涯发展中的跨文化问题</w:t>
      </w:r>
    </w:p>
    <w:p w:rsidR="004D432F" w:rsidRDefault="004D432F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>学校与生涯、学业规划</w:t>
      </w: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>: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学校教育体系中学业规划教育地位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幼儿园的学业活动和项目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小学的学业规划开发计划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初中的学业规划开发计划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高中的学业规划开发计划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大学的学业规划、项目、活动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lastRenderedPageBreak/>
        <w:t>从学生到职场人的转变，从学校到工作世界的转化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学业规划教育与辅导时间和内容上的安排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学业规划教育与其他学科教育的关系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如何唤醒青少年的生涯规划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各学业阶段的同伴在个体生涯规划中的影响和作用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学校教育中跨专业的教育（双学位、第二专业、辅修、跨专业选课等）在学生学业规划中的作用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校园欺凌与生涯发展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学校学业规划教育目标和具体内容的确定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学业规划适应力的培养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少数民族地区学校的学业规划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对不同学业阶段的学业规划教育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发挥家长在学业规划教育及规划中的作用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学校学业规划教育中如何教育和辅导家长</w:t>
      </w:r>
    </w:p>
    <w:p w:rsidR="004D432F" w:rsidRDefault="004D432F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>新兴生涯：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自己做自己的经纪人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斜杆生涯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新兴人类的生涯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新兴业态与生涯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当下网红主播的职业认知、生涯规划与发展</w:t>
      </w:r>
    </w:p>
    <w:p w:rsidR="004D432F" w:rsidRDefault="004D432F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>家庭与生涯：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lastRenderedPageBreak/>
        <w:t>多元家庭结构（如单亲家庭、重组家庭、隔代养育家庭等）对生涯发展的影响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父母和子女对家庭功能认知的差异、偏差及其对青少年生涯发展的影响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中国家长的养育焦虑及其对生涯的影响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家长在子女学业规划中的作用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父母在子女学业规划上的专制及其干预</w:t>
      </w:r>
    </w:p>
    <w:p w:rsidR="004D432F" w:rsidRDefault="004D432F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>生涯伦理与生涯文化：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个人主义、集体主义与生涯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生涯咨询中的文化差异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生涯咨询中的文化包容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生涯咨询的伦理准则建设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生涯咨询中的隐私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中国生涯文化与中国生涯理念误区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家长在学业规划中的错误认知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家长在学业规划中的认识误区</w:t>
      </w:r>
    </w:p>
    <w:p w:rsidR="004D432F" w:rsidRDefault="004D432F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>生涯中的个体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发掘个人的潜力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工作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-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生活平衡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女性生涯发展问题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压力管理、时间管理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休闲与生涯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lastRenderedPageBreak/>
        <w:t>理财与生涯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升学与出国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创业与生涯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建立生涯网络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推销自我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生涯的耐力与韧性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生涯规划中的矛盾：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“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生存性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”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与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“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兴趣性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”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内外生涯成功的平衡</w:t>
      </w:r>
    </w:p>
    <w:p w:rsidR="004D432F" w:rsidRDefault="004D432F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>特殊人群的学业规划：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创伤青少年的学业规划问题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优渥家庭子女学业规划发展困境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寒门家庭子女学业规划发展困境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无心上进的学生</w:t>
      </w:r>
    </w:p>
    <w:p w:rsidR="004D432F" w:rsidRDefault="004D432F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>生涯规划师、生涯咨询师：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我与学业规划、我与学业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咨询：我如何走入学业规划服务行业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我对学业规划咨询及规划的兴趣、动机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我在学业规划咨询及规划行业的成长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对来询者的自信心的培养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发现来询者的天性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和来询者建立亲密关系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学业规划师如何从咨询事件中塑造专业能力？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lastRenderedPageBreak/>
        <w:t>学业规划师的职业自我管理与自我认同感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(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从业动机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)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是否更强烈？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学业规划规划体系与学业规划师的功能、角色研究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学业规划师的学业规划发展问题研究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咨询面谈与倾听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咨询中的沟通</w:t>
      </w:r>
    </w:p>
    <w:p w:rsidR="004D432F" w:rsidRDefault="002F3608">
      <w:pPr>
        <w:spacing w:line="560" w:lineRule="exact"/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咨询室的室内设计</w:t>
      </w:r>
    </w:p>
    <w:p w:rsidR="004D432F" w:rsidRDefault="004D432F">
      <w:pPr>
        <w:spacing w:line="560" w:lineRule="exact"/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</w:pPr>
    </w:p>
    <w:p w:rsidR="004D432F" w:rsidRDefault="002F3608">
      <w:pPr>
        <w:spacing w:line="56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>其他与生涯规划、学业规划相关的主题或方向</w:t>
      </w:r>
      <w:r>
        <w:rPr>
          <w:rStyle w:val="NormalCharacter"/>
          <w:rFonts w:ascii="仿宋_GB2312" w:eastAsia="仿宋_GB2312" w:hAnsi="仿宋_GB2312" w:cs="仿宋_GB2312"/>
          <w:b/>
          <w:bCs/>
          <w:sz w:val="30"/>
          <w:szCs w:val="30"/>
        </w:rPr>
        <w:t xml:space="preserve">      </w:t>
      </w:r>
    </w:p>
    <w:sectPr w:rsidR="004D432F" w:rsidSect="004D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08" w:rsidRDefault="002F3608" w:rsidP="00040182">
      <w:r>
        <w:separator/>
      </w:r>
    </w:p>
  </w:endnote>
  <w:endnote w:type="continuationSeparator" w:id="0">
    <w:p w:rsidR="002F3608" w:rsidRDefault="002F3608" w:rsidP="00040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08" w:rsidRDefault="002F3608" w:rsidP="00040182">
      <w:r>
        <w:separator/>
      </w:r>
    </w:p>
  </w:footnote>
  <w:footnote w:type="continuationSeparator" w:id="0">
    <w:p w:rsidR="002F3608" w:rsidRDefault="002F3608" w:rsidP="00040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4D432F"/>
    <w:rsid w:val="00040182"/>
    <w:rsid w:val="002F3608"/>
    <w:rsid w:val="004D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432F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next w:val="a"/>
    <w:rsid w:val="004D432F"/>
    <w:pPr>
      <w:keepNext/>
      <w:keepLines/>
      <w:spacing w:before="260" w:after="260" w:line="413" w:lineRule="auto"/>
    </w:pPr>
    <w:rPr>
      <w:b/>
      <w:sz w:val="32"/>
    </w:rPr>
  </w:style>
  <w:style w:type="paragraph" w:customStyle="1" w:styleId="Heading4">
    <w:name w:val="Heading4"/>
    <w:basedOn w:val="a"/>
    <w:next w:val="a"/>
    <w:rsid w:val="004D432F"/>
    <w:pPr>
      <w:keepNext/>
      <w:keepLines/>
      <w:spacing w:before="280" w:after="290" w:line="372" w:lineRule="auto"/>
    </w:pPr>
    <w:rPr>
      <w:rFonts w:ascii="Arial" w:eastAsia="黑体" w:hAnsi="Arial"/>
      <w:b/>
      <w:sz w:val="28"/>
    </w:rPr>
  </w:style>
  <w:style w:type="character" w:customStyle="1" w:styleId="NormalCharacter">
    <w:name w:val="NormalCharacter"/>
    <w:rsid w:val="004D432F"/>
  </w:style>
  <w:style w:type="table" w:customStyle="1" w:styleId="TableNormal">
    <w:name w:val="TableNormal"/>
    <w:semiHidden/>
    <w:rsid w:val="004D43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">
    <w:name w:val="Footer"/>
    <w:basedOn w:val="a"/>
    <w:link w:val="UserStyle0"/>
    <w:rsid w:val="004D4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0">
    <w:name w:val="UserStyle_0"/>
    <w:link w:val="Footer"/>
    <w:rsid w:val="004D432F"/>
    <w:rPr>
      <w:kern w:val="2"/>
      <w:sz w:val="18"/>
      <w:szCs w:val="18"/>
    </w:rPr>
  </w:style>
  <w:style w:type="paragraph" w:customStyle="1" w:styleId="Header">
    <w:name w:val="Header"/>
    <w:basedOn w:val="a"/>
    <w:link w:val="UserStyle1"/>
    <w:rsid w:val="004D432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link w:val="Header"/>
    <w:rsid w:val="004D432F"/>
    <w:rPr>
      <w:kern w:val="2"/>
      <w:sz w:val="18"/>
      <w:szCs w:val="18"/>
    </w:rPr>
  </w:style>
  <w:style w:type="paragraph" w:customStyle="1" w:styleId="BodyTextIndent3">
    <w:name w:val="BodyTextIndent3"/>
    <w:basedOn w:val="a"/>
    <w:rsid w:val="004D432F"/>
    <w:pPr>
      <w:spacing w:line="400" w:lineRule="exact"/>
      <w:ind w:firstLineChars="200" w:firstLine="480"/>
    </w:pPr>
    <w:rPr>
      <w:rFonts w:ascii="宋体" w:hAnsi="宋体"/>
      <w:sz w:val="24"/>
    </w:rPr>
  </w:style>
  <w:style w:type="paragraph" w:customStyle="1" w:styleId="HtmlNormal">
    <w:name w:val="HtmlNormal"/>
    <w:basedOn w:val="a"/>
    <w:rsid w:val="004D432F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TableGrid">
    <w:name w:val="TableGrid"/>
    <w:basedOn w:val="TableNormal"/>
    <w:rsid w:val="004D43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NormalCharacter"/>
    <w:rsid w:val="004D432F"/>
    <w:rPr>
      <w:b/>
    </w:rPr>
  </w:style>
  <w:style w:type="character" w:styleId="a4">
    <w:name w:val="Hyperlink"/>
    <w:basedOn w:val="NormalCharacter"/>
    <w:rsid w:val="004D432F"/>
    <w:rPr>
      <w:color w:val="0000FF"/>
      <w:u w:val="single"/>
    </w:rPr>
  </w:style>
  <w:style w:type="paragraph" w:customStyle="1" w:styleId="UserStyle2">
    <w:name w:val="UserStyle_2"/>
    <w:basedOn w:val="a"/>
    <w:rsid w:val="004D432F"/>
    <w:rPr>
      <w:kern w:val="0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040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4018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40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401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2021-03-29T08:36:00Z</dcterms:created>
  <dcterms:modified xsi:type="dcterms:W3CDTF">2021-03-29T08:37:00Z</dcterms:modified>
</cp:coreProperties>
</file>