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AA59A">
      <w:pPr>
        <w:keepNext w:val="0"/>
        <w:keepLines w:val="0"/>
        <w:pageBreakBefore w:val="0"/>
        <w:widowControl w:val="0"/>
        <w:kinsoku/>
        <w:wordWrap/>
        <w:overflowPunct w:val="0"/>
        <w:topLinePunct/>
        <w:autoSpaceDE/>
        <w:autoSpaceDN w:val="0"/>
        <w:bidi w:val="0"/>
        <w:adjustRightInd/>
        <w:snapToGrid/>
        <w:spacing w:line="560" w:lineRule="exact"/>
        <w:ind w:left="643" w:hanging="643" w:hangingChars="200"/>
        <w:textAlignment w:val="auto"/>
        <w:rPr>
          <w:rFonts w:hint="eastAsia" w:ascii="方正仿宋_GB2312" w:hAnsi="方正仿宋_GB2312" w:eastAsia="方正仿宋_GB2312" w:cs="方正仿宋_GB2312"/>
          <w:b/>
          <w:bCs/>
          <w:i w:val="0"/>
          <w:iCs w:val="0"/>
          <w:caps w:val="0"/>
          <w:snapToGrid w:val="0"/>
          <w:color w:val="000000"/>
          <w:spacing w:val="0"/>
          <w:kern w:val="0"/>
          <w:sz w:val="36"/>
          <w:szCs w:val="36"/>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附：</w:t>
      </w:r>
      <w:r>
        <w:rPr>
          <w:rFonts w:hint="eastAsia" w:ascii="方正仿宋_GB2312" w:hAnsi="方正仿宋_GB2312" w:eastAsia="方正仿宋_GB2312" w:cs="方正仿宋_GB2312"/>
          <w:b/>
          <w:bCs/>
          <w:i w:val="0"/>
          <w:iCs w:val="0"/>
          <w:caps w:val="0"/>
          <w:snapToGrid w:val="0"/>
          <w:color w:val="000000"/>
          <w:spacing w:val="0"/>
          <w:kern w:val="0"/>
          <w:sz w:val="36"/>
          <w:szCs w:val="36"/>
          <w:shd w:val="clear" w:fill="FFFFFF"/>
          <w:lang w:val="en-US" w:eastAsia="zh-CN" w:bidi="ar"/>
        </w:rPr>
        <w:t>2025年度项目申报预指南</w:t>
      </w:r>
    </w:p>
    <w:p w14:paraId="660FE069">
      <w:pPr>
        <w:keepNext w:val="0"/>
        <w:keepLines w:val="0"/>
        <w:pageBreakBefore w:val="0"/>
        <w:widowControl w:val="0"/>
        <w:kinsoku/>
        <w:wordWrap/>
        <w:overflowPunct w:val="0"/>
        <w:topLinePunct/>
        <w:autoSpaceDE/>
        <w:autoSpaceDN w:val="0"/>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p>
    <w:p w14:paraId="5A487A5E">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一、人工智能与教育教学</w:t>
      </w:r>
    </w:p>
    <w:p w14:paraId="0137EBA8">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此研究模块强调AI作为工具、环境和思维模式对教育生态的重塑，重点关注伦理、实</w:t>
      </w:r>
      <w:bookmarkStart w:id="0" w:name="_GoBack"/>
      <w:bookmarkEnd w:id="0"/>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效和普惠。</w:t>
      </w:r>
    </w:p>
    <w:p w14:paraId="4FF455AC">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（一）前沿探索与模式构建</w:t>
      </w:r>
    </w:p>
    <w:p w14:paraId="7071630B">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1、生成式人工智能在四川中小学个性化学习路径设计中的应用模式研究</w:t>
      </w:r>
    </w:p>
    <w:p w14:paraId="64694010">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2、“AI+”背景下跨学科项目式学习（PBL）的课程重构与教学实践研究</w:t>
      </w:r>
    </w:p>
    <w:p w14:paraId="34719A24">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3、人工智能赋能民族地区国家通用语言文字教学质量提升的路径研究——以四川民族地区为例</w:t>
      </w:r>
    </w:p>
    <w:p w14:paraId="5038D1B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（二）教师发展与伦理规范</w:t>
      </w:r>
    </w:p>
    <w:p w14:paraId="1C6C6605">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1、四川省中小学教师人工智能素养框架构建及提升策略研究</w:t>
      </w:r>
    </w:p>
    <w:p w14:paraId="50E93D32">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2、教育数字化转型中AI应用的伦理风险与治理机制研究</w:t>
      </w:r>
    </w:p>
    <w:p w14:paraId="5D5DB687">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3、人机协同视域下教师角色转型与专业发展支持体系研究（三）评价体系与精准治理</w:t>
      </w:r>
    </w:p>
    <w:p w14:paraId="508F75D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1、基于人工智能的课堂教学过程性评价与诊断模型研究</w:t>
      </w:r>
    </w:p>
    <w:p w14:paraId="119BC347">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2、AI2驱动的大规模因材施教区域实践模式与效能评估研究</w:t>
      </w:r>
    </w:p>
    <w:p w14:paraId="18E887A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3、人工智能技术在学校教育治理与决策支持中的应用研究</w:t>
      </w:r>
    </w:p>
    <w:p w14:paraId="3D0E366C">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4、中小学科学素养多模态智能检测体系研究</w:t>
      </w:r>
    </w:p>
    <w:p w14:paraId="715B8D49">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二、大思政教育</w:t>
      </w:r>
    </w:p>
    <w:p w14:paraId="21B4AC46">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此研究模块重在探索如何将思政教育有机融入各类课程和教育活动，实现“润物细无声”的效果。</w:t>
      </w:r>
    </w:p>
    <w:p w14:paraId="2F6318F3">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（一）课程融合与资源开发</w:t>
      </w:r>
    </w:p>
    <w:p w14:paraId="5036A5FB">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1、“课程思政”视域下四川科学家精神资源的梳理与教学化应用研究</w:t>
      </w:r>
    </w:p>
    <w:p w14:paraId="2D482459">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2、“三线建设”等地方红色文化资源融入大中小学思政课一体化建设的路径研究</w:t>
      </w:r>
    </w:p>
    <w:p w14:paraId="6EBB6D4B">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3、新时代“大思政课”实践教学基地（四川）的育人模式与效能提升研究</w:t>
      </w:r>
    </w:p>
    <w:p w14:paraId="7ED7462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（二）数字赋能与模式创新</w:t>
      </w:r>
    </w:p>
    <w:p w14:paraId="0EBFA3E4">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1、数字技术赋能“大思政课”教学场景创新与实践研究</w:t>
      </w:r>
    </w:p>
    <w:p w14:paraId="250230E3">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2、基于虚拟仿真技术的思政课沉浸式教学资源开发与应用3、新媒体环境下青少年价值观引导的挑战与应对策略研究（三）协同育人与实践路径</w:t>
      </w:r>
    </w:p>
    <w:p w14:paraId="3E68D0AC">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1、大思政格局下家校社协同育人的四川实践与机制创新研究</w:t>
      </w:r>
    </w:p>
    <w:p w14:paraId="71237503">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2、大中小学生思想政治素养发展性评价指标体系构建研究</w:t>
      </w:r>
    </w:p>
    <w:p w14:paraId="246838C8">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三、研学教育</w:t>
      </w:r>
    </w:p>
    <w:p w14:paraId="7073EF97">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此研究模块强调研学与地方特色、科学素养和课程标准的深度结合，避免“只旅不学”或“只学不旅”。</w:t>
      </w:r>
    </w:p>
    <w:p w14:paraId="52301D6E">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（一）地方特色与课程体系</w:t>
      </w:r>
    </w:p>
    <w:p w14:paraId="21C876C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1、基于四川自然与文化遗产的STEM研学课程体系开发与实践研究</w:t>
      </w:r>
    </w:p>
    <w:p w14:paraId="00E915D1">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2、“天府粮仓”背景下现代农业科技研学基地课程建设与实施路径研究</w:t>
      </w:r>
    </w:p>
    <w:p w14:paraId="615716C5">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3、四川大国工程（如雅砻江水电、川藏铁路）研学旅行的爱国主义教育功能与实践模式研究</w:t>
      </w:r>
    </w:p>
    <w:p w14:paraId="3956B3A2">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（二）科学素养与评价机制</w:t>
      </w:r>
    </w:p>
    <w:p w14:paraId="798BAA45">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1、研学旅行中中小学生科学探究能力培养的评价模型研究</w:t>
      </w:r>
    </w:p>
    <w:p w14:paraId="0C8648D8">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2、区域性研学实践教育质量监测与动态管理机制研究</w:t>
      </w:r>
    </w:p>
    <w:p w14:paraId="0B3A97D8">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default"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3、“双减”背景下研学教育与学校课程衔接互促的机制研研究</w:t>
      </w:r>
    </w:p>
    <w:p w14:paraId="6766A562">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四、国际教育</w:t>
      </w:r>
    </w:p>
    <w:p w14:paraId="6C0405D8">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此研究模块聚焦于培养具有国际视野、全球竞争力的创新人才，同时强调在交流中讲好中国故事、四川故事。</w:t>
      </w:r>
    </w:p>
    <w:p w14:paraId="60AB0AD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（一）比较借鉴与本土化实践</w:t>
      </w:r>
    </w:p>
    <w:p w14:paraId="5E8CD994">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1、国际STEM/STEAM教育优秀课程模式的比较研究与四川本土化实践</w:t>
      </w:r>
    </w:p>
    <w:p w14:paraId="79626AB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2、全球素养导向的跨文化课程设计与教学实践研究</w:t>
      </w:r>
    </w:p>
    <w:p w14:paraId="1C78020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3、中外青少年科技竞赛模式比较与创新人才早期培养机制研究</w:t>
      </w:r>
    </w:p>
    <w:p w14:paraId="0BCF0D30">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4、产教融合与科教融合比较研究</w:t>
      </w:r>
    </w:p>
    <w:p w14:paraId="1A101841">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5、大学生职业规划与发展的国际与比较研究</w:t>
      </w:r>
    </w:p>
    <w:p w14:paraId="14ADC98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（二）交流合作</w:t>
      </w:r>
    </w:p>
    <w:p w14:paraId="0B0A86C1">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1、“一带一路”背景下教育课程创新与国外学校深度合作模式研究</w:t>
      </w:r>
    </w:p>
    <w:p w14:paraId="45C3B623">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2、中小学线上线下融合的国际交流新模式探索</w:t>
      </w:r>
    </w:p>
    <w:p w14:paraId="5689C0B9">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3、依托“熊猫文化”“古蜀文明”等IP讲好中国故事四川篇章的国际教育实践研究</w:t>
      </w:r>
    </w:p>
    <w:p w14:paraId="556BBA7F">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4、教育强国背景下国际教育共同体联盟研究</w:t>
      </w:r>
    </w:p>
    <w:p w14:paraId="7255B24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5、科研项目及实训课程国际比较研究</w:t>
      </w:r>
    </w:p>
    <w:p w14:paraId="5F80A49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（三）融合发展与质量保障</w:t>
      </w:r>
    </w:p>
    <w:p w14:paraId="323878CA">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1、国际教育理念与本土课程改革的融合路径与质量评估研究</w:t>
      </w:r>
    </w:p>
    <w:p w14:paraId="370434CF">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2、基础教育阶段中外人文交流活动的育人效能与提升策略研究</w:t>
      </w:r>
    </w:p>
    <w:p w14:paraId="226886E9">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五、场景创新与未来教育生态构建</w:t>
      </w:r>
    </w:p>
    <w:p w14:paraId="7D440349">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本模块不同于单一技术应用研究，旨在系统性探索如何综合利用AIGC、扩展现实、物联网、大数据等技术，重构学习空间、教学活动与组织形态，形成沉浸式、个性化、联通真实世界的教育新场景，并对其构建路径与育人效能进行实证研究。</w:t>
      </w:r>
    </w:p>
    <w:p w14:paraId="74443CF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（一）技术赋能与教学新场景</w:t>
      </w:r>
    </w:p>
    <w:p w14:paraId="2B42178A">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1、中小学基于AIGC的创新教学场景构建路径与应用实效研究</w:t>
      </w:r>
    </w:p>
    <w:p w14:paraId="569962E4">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2、VR/AR技术在教学场景中的深度融合路径与教学效能评估研究</w:t>
      </w:r>
    </w:p>
    <w:p w14:paraId="515EDD8E">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3、智慧校园环境下全域感知的无边界学习场景构建与实践研究</w:t>
      </w:r>
    </w:p>
    <w:p w14:paraId="3BC6811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4、“元宇宙”概念下的未来学校样态与学习场景创新实践研究</w:t>
      </w:r>
    </w:p>
    <w:p w14:paraId="639E3560">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（二）空间重构与社会化学习</w:t>
      </w:r>
    </w:p>
    <w:p w14:paraId="57A2F0A1">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1、图书馆、博物馆、科技馆“三馆联动”支撑社会化学习的场景创新研究</w:t>
      </w:r>
    </w:p>
    <w:p w14:paraId="0DEA925F">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2、基于城市公共空间的非正式学习场景设计与实践路径研究</w:t>
      </w:r>
    </w:p>
    <w:p w14:paraId="26044EAA">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3、面向科学素养提升的“场景-课程-评价”一体化设计研究</w:t>
      </w:r>
    </w:p>
    <w:p w14:paraId="5823A259">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六、产学研融合与工学交替模式创新</w:t>
      </w:r>
    </w:p>
    <w:p w14:paraId="7A4109BE">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本模块重点关注教育链、人才链与产业链、创新链的有机衔接，探索以工学交替、岗位实践为核心的协同育人新机制，为培养创新型、应用型人才提供路径支持。</w:t>
      </w:r>
    </w:p>
    <w:p w14:paraId="4DFB6CC7">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（一）机制构建与路径探索</w:t>
      </w:r>
    </w:p>
    <w:p w14:paraId="34CF411E">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1、区域性产教融合共同体实体化运作的机制与政策保障研究</w:t>
      </w:r>
    </w:p>
    <w:p w14:paraId="7D1575C7">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2、基于产业学院的“双导师制”与工学交替模式创新研究</w:t>
      </w:r>
    </w:p>
    <w:p w14:paraId="028A0DC5">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3、产学研协同视角下“双师型”教师培养与评价体系研究</w:t>
      </w:r>
    </w:p>
    <w:p w14:paraId="1176EC9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（二）课程重构与教学创新</w:t>
      </w:r>
    </w:p>
    <w:p w14:paraId="0469AAF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1、面向真实生产环境的项目化课程开发与教学实践研究</w:t>
      </w:r>
    </w:p>
    <w:p w14:paraId="5DA985DC">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2、基于企业典型工作任务的模块化课程体系重构研究</w:t>
      </w:r>
    </w:p>
    <w:p w14:paraId="1E88611F">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3、工学交替过程中学生能力成长的循证评价研究</w:t>
      </w:r>
    </w:p>
    <w:p w14:paraId="269C2D2F">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default"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（三）评价保障与典型案例</w:t>
      </w:r>
    </w:p>
    <w:p w14:paraId="119A1E6A">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1、产教融合、工学交替项目的质量监控与动态评价体系研究</w:t>
      </w:r>
    </w:p>
    <w:p w14:paraId="5182EB28">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2、四川省产教融合型企业的培育路径与典型案例研究</w:t>
      </w:r>
    </w:p>
    <w:p w14:paraId="4EA2A9A8">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napToGrid w:val="0"/>
          <w:color w:val="000000"/>
          <w:spacing w:val="0"/>
          <w:kern w:val="0"/>
          <w:sz w:val="32"/>
          <w:szCs w:val="32"/>
          <w:shd w:val="clear" w:fill="FFFFFF"/>
          <w:lang w:val="en-US" w:eastAsia="zh-CN" w:bidi="ar"/>
        </w:rPr>
        <w:t>七、跨领域交叉与综合性研究方向</w:t>
      </w:r>
    </w:p>
    <w:p w14:paraId="0AD074D2">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此研究模块为体现工作的系统性和创新性，开展跨领域的综合性课题。</w:t>
      </w:r>
    </w:p>
    <w:p w14:paraId="2295AF6D">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1、基于国际比较的AI科学教育课程开发与教师发展研究</w:t>
      </w:r>
    </w:p>
    <w:p w14:paraId="07D1F7EF">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2、"大思政"视域下国际研学旅行的课程设计与文化传播研究</w:t>
      </w:r>
    </w:p>
    <w:p w14:paraId="6DC872A0">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3、数字化转型背景下科学教育治理体系与能力现代化研究</w:t>
      </w:r>
    </w:p>
    <w:p w14:paraId="1A43FA96">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4、AI技术与中国优秀传统文化的国际传播方式研究</w:t>
      </w:r>
    </w:p>
    <w:p w14:paraId="41D6EB9F">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5、产学研协同视角下AI+教育的场景构建与治理机制研究</w:t>
      </w:r>
    </w:p>
    <w:p w14:paraId="4D1970B0">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6、产教融合推进职业教育与普通教育融通的路径研究</w:t>
      </w:r>
    </w:p>
    <w:p w14:paraId="4B1C9168">
      <w:pPr>
        <w:keepNext w:val="0"/>
        <w:keepLines w:val="0"/>
        <w:pageBreakBefore w:val="0"/>
        <w:widowControl w:val="0"/>
        <w:kinsoku/>
        <w:wordWrap/>
        <w:overflowPunct w:val="0"/>
        <w:topLinePunct/>
        <w:autoSpaceDE/>
        <w:autoSpaceDN w:val="0"/>
        <w:bidi w:val="0"/>
        <w:adjustRightInd/>
        <w:snapToGrid/>
        <w:spacing w:line="560" w:lineRule="exact"/>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7、场景创新视域下教育数字化转型的路径与评估研究</w:t>
      </w:r>
    </w:p>
    <w:p w14:paraId="4E0F43C5">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p>
    <w:p w14:paraId="5740127E">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t>温馨提示：申请人可适当扩充题目，根据自己的研究兴趣、学术专长自选的研究题目。鼓励实证研究、跨学科合作、校企/校馆（博物馆、科技馆）联合申报，以确保研究成果能够落地转化。</w:t>
      </w:r>
    </w:p>
    <w:p w14:paraId="2EAA201E">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p>
    <w:p w14:paraId="02AC0387">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p>
    <w:p w14:paraId="5360A549">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p>
    <w:p w14:paraId="65F4E308">
      <w:pPr>
        <w:keepNext w:val="0"/>
        <w:keepLines w:val="0"/>
        <w:pageBreakBefore w:val="0"/>
        <w:widowControl w:val="0"/>
        <w:kinsoku/>
        <w:wordWrap/>
        <w:overflowPunct w:val="0"/>
        <w:topLinePunct/>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i w:val="0"/>
          <w:iCs w:val="0"/>
          <w:caps w:val="0"/>
          <w:snapToGrid w:val="0"/>
          <w:color w:val="000000"/>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917CF17E-9131-4966-9164-C50335CAAB7F}"/>
  </w:font>
  <w:font w:name="Segoe UI">
    <w:panose1 w:val="020B0502040204020203"/>
    <w:charset w:val="00"/>
    <w:family w:val="auto"/>
    <w:pitch w:val="default"/>
    <w:sig w:usb0="E4002EFF" w:usb1="C000E47F"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7740A"/>
    <w:rsid w:val="64D7740A"/>
    <w:rsid w:val="7A3A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1580</Words>
  <Characters>1606</Characters>
  <Lines>0</Lines>
  <Paragraphs>0</Paragraphs>
  <TotalTime>141</TotalTime>
  <ScaleCrop>false</ScaleCrop>
  <LinksUpToDate>false</LinksUpToDate>
  <CharactersWithSpaces>1606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2025-11-04T09:53:00Z</dcterms:created>
  <dc:creator>悠悠</dc:creator>
  <cp:lastModifiedBy>悠悠</cp:lastModifiedBy>
  <dcterms:modified xsi:type="dcterms:W3CDTF">2025-11-05T07:51:52Z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DB5CD73EEB134BC4B393F6382998DF24_13</vt:lpwstr>
  </property>
  <property fmtid="{D5CDD505-2E9C-101B-9397-08002B2CF9AE}" pid="4" name="KSOTemplateDocerSaveRecord">
    <vt:lpwstr>eyJoZGlkIjoiZmU3NzFiYjNkZTIwYWViNDE0NDc0MWYyZjhmNDA5Y2EiLCJ1c2VySWQiOiIyNjgyNzk1NjUifQ==</vt:lpwstr>
  </property>
</Properties>
</file>